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30B" w:rsidRDefault="00916D10" w:rsidP="0032630B">
      <w:r>
        <w:tab/>
      </w:r>
      <w:r>
        <w:tab/>
        <w:t xml:space="preserve">  </w:t>
      </w:r>
      <w:r w:rsidR="0032630B">
        <w:tab/>
        <w:t xml:space="preserve">   </w:t>
      </w:r>
    </w:p>
    <w:p w:rsidR="0032630B" w:rsidRDefault="00C46FE2" w:rsidP="00C46FE2">
      <w:r>
        <w:t xml:space="preserve">                               </w:t>
      </w:r>
      <w:r w:rsidR="0032630B">
        <w:tab/>
      </w:r>
      <w:r w:rsidR="0032630B">
        <w:tab/>
      </w:r>
      <w:r w:rsidR="0032630B">
        <w:tab/>
        <w:t xml:space="preserve">       </w:t>
      </w:r>
      <w:r w:rsidR="0032630B">
        <w:tab/>
      </w:r>
      <w:r w:rsidR="0032630B">
        <w:tab/>
      </w:r>
      <w:r w:rsidR="0032630B">
        <w:tab/>
      </w:r>
    </w:p>
    <w:p w:rsidR="00CB1B6E" w:rsidRPr="00CB1B6E" w:rsidRDefault="00CB1B6E" w:rsidP="00CB1B6E">
      <w:pPr>
        <w:pStyle w:val="WW-Tekstkomentarza"/>
        <w:jc w:val="right"/>
        <w:rPr>
          <w:rFonts w:asciiTheme="minorHAnsi" w:hAnsiTheme="minorHAnsi" w:cstheme="minorHAnsi"/>
          <w:sz w:val="22"/>
          <w:szCs w:val="22"/>
        </w:rPr>
      </w:pPr>
      <w:r w:rsidRPr="00CB1B6E">
        <w:rPr>
          <w:rFonts w:asciiTheme="minorHAnsi" w:hAnsiTheme="minorHAnsi" w:cstheme="minorHAnsi"/>
          <w:sz w:val="22"/>
          <w:szCs w:val="22"/>
        </w:rPr>
        <w:t>Za</w:t>
      </w:r>
      <w:r w:rsidR="002D21D7">
        <w:rPr>
          <w:rFonts w:asciiTheme="minorHAnsi" w:hAnsiTheme="minorHAnsi" w:cstheme="minorHAnsi"/>
          <w:sz w:val="22"/>
          <w:szCs w:val="22"/>
        </w:rPr>
        <w:t>łącznik nr 1</w:t>
      </w:r>
      <w:r w:rsidR="00020B5A">
        <w:rPr>
          <w:rFonts w:asciiTheme="minorHAnsi" w:hAnsiTheme="minorHAnsi" w:cstheme="minorHAnsi"/>
          <w:sz w:val="22"/>
          <w:szCs w:val="22"/>
        </w:rPr>
        <w:t xml:space="preserve"> </w:t>
      </w:r>
      <w:r w:rsidR="00B806CC">
        <w:rPr>
          <w:rFonts w:asciiTheme="minorHAnsi" w:hAnsiTheme="minorHAnsi" w:cstheme="minorHAnsi"/>
          <w:sz w:val="22"/>
          <w:szCs w:val="22"/>
        </w:rPr>
        <w:t xml:space="preserve">do Zarządzenia Nr </w:t>
      </w:r>
      <w:r w:rsidR="00C66D19">
        <w:rPr>
          <w:rFonts w:asciiTheme="minorHAnsi" w:hAnsiTheme="minorHAnsi" w:cstheme="minorHAnsi"/>
          <w:sz w:val="22"/>
          <w:szCs w:val="22"/>
        </w:rPr>
        <w:t>55</w:t>
      </w:r>
      <w:r w:rsidR="00B806CC">
        <w:rPr>
          <w:rFonts w:asciiTheme="minorHAnsi" w:hAnsiTheme="minorHAnsi" w:cstheme="minorHAnsi"/>
          <w:sz w:val="22"/>
          <w:szCs w:val="22"/>
        </w:rPr>
        <w:t xml:space="preserve"> </w:t>
      </w:r>
      <w:r w:rsidRPr="00CB1B6E">
        <w:rPr>
          <w:rFonts w:asciiTheme="minorHAnsi" w:hAnsiTheme="minorHAnsi" w:cstheme="minorHAnsi"/>
          <w:sz w:val="22"/>
          <w:szCs w:val="22"/>
        </w:rPr>
        <w:t>/202</w:t>
      </w:r>
      <w:r w:rsidR="00B5392F">
        <w:rPr>
          <w:rFonts w:asciiTheme="minorHAnsi" w:hAnsiTheme="minorHAnsi" w:cstheme="minorHAnsi"/>
          <w:sz w:val="22"/>
          <w:szCs w:val="22"/>
        </w:rPr>
        <w:t>4</w:t>
      </w:r>
      <w:r w:rsidRPr="00CB1B6E">
        <w:rPr>
          <w:rFonts w:asciiTheme="minorHAnsi" w:hAnsiTheme="minorHAnsi" w:cstheme="minorHAnsi"/>
          <w:sz w:val="22"/>
          <w:szCs w:val="22"/>
        </w:rPr>
        <w:t xml:space="preserve"> z dnia </w:t>
      </w:r>
      <w:r w:rsidR="00C66D19">
        <w:rPr>
          <w:rFonts w:asciiTheme="minorHAnsi" w:hAnsiTheme="minorHAnsi" w:cstheme="minorHAnsi"/>
          <w:sz w:val="22"/>
          <w:szCs w:val="22"/>
        </w:rPr>
        <w:t>08</w:t>
      </w:r>
      <w:r w:rsidRPr="00CB1B6E">
        <w:rPr>
          <w:rFonts w:asciiTheme="minorHAnsi" w:hAnsiTheme="minorHAnsi" w:cstheme="minorHAnsi"/>
          <w:sz w:val="22"/>
          <w:szCs w:val="22"/>
        </w:rPr>
        <w:t>.</w:t>
      </w:r>
      <w:r w:rsidR="00C66D19">
        <w:rPr>
          <w:rFonts w:asciiTheme="minorHAnsi" w:hAnsiTheme="minorHAnsi" w:cstheme="minorHAnsi"/>
          <w:sz w:val="22"/>
          <w:szCs w:val="22"/>
        </w:rPr>
        <w:t>10</w:t>
      </w:r>
      <w:r w:rsidRPr="00CB1B6E">
        <w:rPr>
          <w:rFonts w:asciiTheme="minorHAnsi" w:hAnsiTheme="minorHAnsi" w:cstheme="minorHAnsi"/>
          <w:sz w:val="22"/>
          <w:szCs w:val="22"/>
        </w:rPr>
        <w:t>.202</w:t>
      </w:r>
      <w:r w:rsidR="00B5392F">
        <w:rPr>
          <w:rFonts w:asciiTheme="minorHAnsi" w:hAnsiTheme="minorHAnsi" w:cstheme="minorHAnsi"/>
          <w:sz w:val="22"/>
          <w:szCs w:val="22"/>
        </w:rPr>
        <w:t>4</w:t>
      </w:r>
      <w:r w:rsidRPr="00CB1B6E">
        <w:rPr>
          <w:rFonts w:asciiTheme="minorHAnsi" w:hAnsiTheme="minorHAnsi" w:cstheme="minorHAnsi"/>
          <w:sz w:val="22"/>
          <w:szCs w:val="22"/>
        </w:rPr>
        <w:t>r.</w:t>
      </w:r>
    </w:p>
    <w:p w:rsidR="00CB1B6E" w:rsidRPr="00CB1B6E" w:rsidRDefault="00CB1B6E" w:rsidP="00CB1B6E">
      <w:pPr>
        <w:pStyle w:val="WW-Tekstkomentarza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D7051" w:rsidRPr="00AD7051" w:rsidRDefault="00AD7051" w:rsidP="00AD7051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AD7051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asady</w:t>
      </w:r>
      <w:r w:rsidRPr="00AD7051">
        <w:rPr>
          <w:rFonts w:asciiTheme="minorHAnsi" w:hAnsiTheme="minorHAnsi" w:cstheme="minorHAnsi"/>
          <w:sz w:val="22"/>
          <w:szCs w:val="22"/>
        </w:rPr>
        <w:t xml:space="preserve"> zwrotu kosztów wynagrodzeń, nagród i składki na ubezpieczenie społeczne poniesionych przez pracodawcę za zatrudnionych p</w:t>
      </w:r>
      <w:r w:rsidR="004E6476">
        <w:rPr>
          <w:rFonts w:asciiTheme="minorHAnsi" w:hAnsiTheme="minorHAnsi" w:cstheme="minorHAnsi"/>
          <w:sz w:val="22"/>
          <w:szCs w:val="22"/>
        </w:rPr>
        <w:t>racowników w trybie art. 21 ust.</w:t>
      </w:r>
      <w:r w:rsidRPr="00AD7051">
        <w:rPr>
          <w:rFonts w:asciiTheme="minorHAnsi" w:hAnsiTheme="minorHAnsi" w:cstheme="minorHAnsi"/>
          <w:sz w:val="22"/>
          <w:szCs w:val="22"/>
        </w:rPr>
        <w:t>1 ustawy z 16.09.2011r. o szczególnych rozwiązaniach związany</w:t>
      </w:r>
      <w:r w:rsidR="00C66D19">
        <w:rPr>
          <w:rFonts w:asciiTheme="minorHAnsi" w:hAnsiTheme="minorHAnsi" w:cstheme="minorHAnsi"/>
          <w:sz w:val="22"/>
          <w:szCs w:val="22"/>
        </w:rPr>
        <w:t>ch z usuwaniem skutków powodzi przez</w:t>
      </w:r>
      <w:bookmarkStart w:id="0" w:name="_GoBack"/>
      <w:bookmarkEnd w:id="0"/>
      <w:r w:rsidRPr="00AD7051">
        <w:rPr>
          <w:rFonts w:asciiTheme="minorHAnsi" w:hAnsiTheme="minorHAnsi" w:cstheme="minorHAnsi"/>
          <w:sz w:val="22"/>
          <w:szCs w:val="22"/>
        </w:rPr>
        <w:t xml:space="preserve"> Powiatowym Urzędzie Pracy w Kamiennej Górze</w:t>
      </w:r>
    </w:p>
    <w:p w:rsidR="00CB1B6E" w:rsidRPr="00CB1B6E" w:rsidRDefault="00CB1B6E" w:rsidP="00CB1B6E">
      <w:pPr>
        <w:rPr>
          <w:rFonts w:asciiTheme="minorHAnsi" w:hAnsiTheme="minorHAnsi" w:cstheme="minorHAnsi"/>
          <w:sz w:val="22"/>
          <w:szCs w:val="22"/>
        </w:rPr>
      </w:pPr>
    </w:p>
    <w:p w:rsidR="00CB1B6E" w:rsidRPr="00CB1B6E" w:rsidRDefault="00CB1B6E" w:rsidP="00CB1B6E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6E">
        <w:rPr>
          <w:rFonts w:asciiTheme="minorHAnsi" w:hAnsiTheme="minorHAnsi" w:cstheme="minorHAnsi"/>
          <w:sz w:val="22"/>
          <w:szCs w:val="22"/>
        </w:rPr>
        <w:t>Rozdział I</w:t>
      </w:r>
    </w:p>
    <w:p w:rsidR="00CB1B6E" w:rsidRPr="00CB1B6E" w:rsidRDefault="00CB1B6E" w:rsidP="00CB1B6E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6E">
        <w:rPr>
          <w:rFonts w:asciiTheme="minorHAnsi" w:hAnsiTheme="minorHAnsi" w:cstheme="minorHAnsi"/>
          <w:sz w:val="22"/>
          <w:szCs w:val="22"/>
        </w:rPr>
        <w:t>Postanowienia ogólne</w:t>
      </w:r>
    </w:p>
    <w:p w:rsidR="002C321F" w:rsidRDefault="002C321F" w:rsidP="00CB1B6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B1B6E" w:rsidRPr="00CB1B6E" w:rsidRDefault="00CB1B6E" w:rsidP="00CB1B6E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6E">
        <w:rPr>
          <w:rFonts w:asciiTheme="minorHAnsi" w:hAnsiTheme="minorHAnsi" w:cstheme="minorHAnsi"/>
          <w:sz w:val="22"/>
          <w:szCs w:val="22"/>
        </w:rPr>
        <w:t>§ 1</w:t>
      </w:r>
    </w:p>
    <w:p w:rsidR="00CB1B6E" w:rsidRPr="00CB1B6E" w:rsidRDefault="00CB1B6E" w:rsidP="00120F9F">
      <w:pPr>
        <w:jc w:val="both"/>
        <w:rPr>
          <w:rFonts w:asciiTheme="minorHAnsi" w:hAnsiTheme="minorHAnsi" w:cstheme="minorHAnsi"/>
          <w:sz w:val="22"/>
          <w:szCs w:val="22"/>
        </w:rPr>
      </w:pPr>
      <w:r w:rsidRPr="00CB1B6E">
        <w:rPr>
          <w:rFonts w:asciiTheme="minorHAnsi" w:hAnsiTheme="minorHAnsi" w:cstheme="minorHAnsi"/>
          <w:sz w:val="22"/>
          <w:szCs w:val="22"/>
        </w:rPr>
        <w:t xml:space="preserve">Podstawa prawna: </w:t>
      </w:r>
    </w:p>
    <w:p w:rsidR="00337F05" w:rsidRDefault="00337F05" w:rsidP="00120F9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Ustawa z 16.09.2011r. o szczególnych rozwiązaniach związanych z usuwaniem skutków powodzi </w:t>
      </w:r>
      <w:r>
        <w:t>(</w:t>
      </w:r>
      <w:proofErr w:type="spellStart"/>
      <w:r>
        <w:t>t.j</w:t>
      </w:r>
      <w:proofErr w:type="spellEnd"/>
      <w:r>
        <w:t>. Dz.U. z 2024 r. poz. 654</w:t>
      </w:r>
      <w:r w:rsidR="008B577C">
        <w:t xml:space="preserve"> z póź.zm</w:t>
      </w:r>
      <w:r>
        <w:t>)</w:t>
      </w:r>
    </w:p>
    <w:p w:rsidR="00CB1B6E" w:rsidRPr="00CB1B6E" w:rsidRDefault="00CB1B6E" w:rsidP="00120F9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B1B6E">
        <w:rPr>
          <w:rFonts w:asciiTheme="minorHAnsi" w:hAnsiTheme="minorHAnsi" w:cstheme="minorHAnsi"/>
        </w:rPr>
        <w:t>Ustawa z dnia 20 kwietnia 2004 r. o promocji zatrudnienia i instytucjach rynku</w:t>
      </w:r>
      <w:r w:rsidR="00487DC4">
        <w:rPr>
          <w:rFonts w:asciiTheme="minorHAnsi" w:hAnsiTheme="minorHAnsi" w:cstheme="minorHAnsi"/>
        </w:rPr>
        <w:t xml:space="preserve"> (tj. Dz.U. z 202</w:t>
      </w:r>
      <w:r w:rsidR="0039775E">
        <w:rPr>
          <w:rFonts w:asciiTheme="minorHAnsi" w:hAnsiTheme="minorHAnsi" w:cstheme="minorHAnsi"/>
        </w:rPr>
        <w:t>4</w:t>
      </w:r>
      <w:r w:rsidR="00487DC4">
        <w:rPr>
          <w:rFonts w:asciiTheme="minorHAnsi" w:hAnsiTheme="minorHAnsi" w:cstheme="minorHAnsi"/>
        </w:rPr>
        <w:t xml:space="preserve">r. </w:t>
      </w:r>
      <w:r w:rsidR="005F13BD">
        <w:rPr>
          <w:rFonts w:asciiTheme="minorHAnsi" w:hAnsiTheme="minorHAnsi" w:cstheme="minorHAnsi"/>
        </w:rPr>
        <w:br/>
      </w:r>
      <w:r w:rsidR="00487DC4">
        <w:rPr>
          <w:rFonts w:asciiTheme="minorHAnsi" w:hAnsiTheme="minorHAnsi" w:cstheme="minorHAnsi"/>
        </w:rPr>
        <w:t xml:space="preserve">poz. </w:t>
      </w:r>
      <w:r w:rsidR="0039775E">
        <w:rPr>
          <w:rFonts w:asciiTheme="minorHAnsi" w:hAnsiTheme="minorHAnsi" w:cstheme="minorHAnsi"/>
        </w:rPr>
        <w:t>475</w:t>
      </w:r>
      <w:r w:rsidR="00B5392F">
        <w:rPr>
          <w:rFonts w:asciiTheme="minorHAnsi" w:hAnsiTheme="minorHAnsi" w:cstheme="minorHAnsi"/>
        </w:rPr>
        <w:t xml:space="preserve"> z </w:t>
      </w:r>
      <w:proofErr w:type="spellStart"/>
      <w:r w:rsidR="00B5392F">
        <w:rPr>
          <w:rFonts w:asciiTheme="minorHAnsi" w:hAnsiTheme="minorHAnsi" w:cstheme="minorHAnsi"/>
        </w:rPr>
        <w:t>późn</w:t>
      </w:r>
      <w:proofErr w:type="spellEnd"/>
      <w:r w:rsidR="00B5392F">
        <w:rPr>
          <w:rFonts w:asciiTheme="minorHAnsi" w:hAnsiTheme="minorHAnsi" w:cstheme="minorHAnsi"/>
        </w:rPr>
        <w:t>. zm.</w:t>
      </w:r>
      <w:r w:rsidR="00487DC4">
        <w:rPr>
          <w:rFonts w:asciiTheme="minorHAnsi" w:hAnsiTheme="minorHAnsi" w:cstheme="minorHAnsi"/>
        </w:rPr>
        <w:t>)</w:t>
      </w:r>
      <w:r w:rsidRPr="00CB1B6E">
        <w:rPr>
          <w:rFonts w:asciiTheme="minorHAnsi" w:hAnsiTheme="minorHAnsi" w:cstheme="minorHAnsi"/>
        </w:rPr>
        <w:t xml:space="preserve">; </w:t>
      </w:r>
    </w:p>
    <w:p w:rsidR="00CB1B6E" w:rsidRPr="00CB1B6E" w:rsidRDefault="00CB1B6E" w:rsidP="00120F9F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B1B6E">
        <w:rPr>
          <w:rFonts w:asciiTheme="minorHAnsi" w:hAnsiTheme="minorHAnsi" w:cstheme="minorHAnsi"/>
        </w:rPr>
        <w:t>Rozporządzenie  Ministra  Pracy  i  Polityki  Społecznej  z  dnia  24  czerwca  2014  r.  w  sprawie organizowania prac interwencyjnych i robót publicznych oraz jednorazowej refundacji kosztów z tytułu opłaconych składek na ubezpieczenia społeczne</w:t>
      </w:r>
      <w:r w:rsidR="00D22408">
        <w:rPr>
          <w:rFonts w:asciiTheme="minorHAnsi" w:hAnsiTheme="minorHAnsi" w:cstheme="minorHAnsi"/>
        </w:rPr>
        <w:t xml:space="preserve"> (Dz. U</w:t>
      </w:r>
      <w:r w:rsidR="00D22408" w:rsidRPr="00D22408">
        <w:rPr>
          <w:rFonts w:asciiTheme="minorHAnsi" w:hAnsiTheme="minorHAnsi" w:cstheme="minorHAnsi"/>
        </w:rPr>
        <w:t xml:space="preserve">. z 2014r. poz. 864 z </w:t>
      </w:r>
      <w:proofErr w:type="spellStart"/>
      <w:r w:rsidR="00D22408" w:rsidRPr="00D22408">
        <w:rPr>
          <w:rFonts w:asciiTheme="minorHAnsi" w:hAnsiTheme="minorHAnsi" w:cstheme="minorHAnsi"/>
        </w:rPr>
        <w:t>późn</w:t>
      </w:r>
      <w:proofErr w:type="spellEnd"/>
      <w:r w:rsidR="00D22408" w:rsidRPr="00D22408">
        <w:rPr>
          <w:rFonts w:asciiTheme="minorHAnsi" w:hAnsiTheme="minorHAnsi" w:cstheme="minorHAnsi"/>
        </w:rPr>
        <w:t>. zm.)</w:t>
      </w:r>
      <w:r w:rsidRPr="00D22408">
        <w:rPr>
          <w:rFonts w:asciiTheme="minorHAnsi" w:hAnsiTheme="minorHAnsi" w:cstheme="minorHAnsi"/>
        </w:rPr>
        <w:t>;</w:t>
      </w:r>
      <w:r w:rsidRPr="00CB1B6E">
        <w:rPr>
          <w:rFonts w:asciiTheme="minorHAnsi" w:hAnsiTheme="minorHAnsi" w:cstheme="minorHAnsi"/>
        </w:rPr>
        <w:t xml:space="preserve"> </w:t>
      </w:r>
    </w:p>
    <w:p w:rsidR="00337F05" w:rsidRDefault="00337F05" w:rsidP="00120F9F">
      <w:pPr>
        <w:pStyle w:val="Akapitzlist"/>
        <w:numPr>
          <w:ilvl w:val="0"/>
          <w:numId w:val="3"/>
        </w:numPr>
        <w:jc w:val="both"/>
      </w:pPr>
      <w:r>
        <w:t xml:space="preserve">Rozporządzenie Rady Ministrów z 16.09.2024r. w sprawie wykazu gmin, w których są stosowane szczególne rozwiązania związane z usuwaniem </w:t>
      </w:r>
      <w:r w:rsidR="00CD1B41">
        <w:t>skutków powodzi</w:t>
      </w:r>
      <w:r w:rsidR="00645D84">
        <w:t xml:space="preserve"> z września</w:t>
      </w:r>
      <w:r w:rsidR="003A0FE9">
        <w:t xml:space="preserve"> </w:t>
      </w:r>
      <w:r w:rsidR="00645D84">
        <w:t>2024r. oraz rozwiązań</w:t>
      </w:r>
      <w:r w:rsidR="00CD1B41">
        <w:t xml:space="preserve"> stosowanych na ich terenie (poz. 1371)</w:t>
      </w:r>
      <w:r w:rsidR="003D11A0">
        <w:t>.</w:t>
      </w:r>
    </w:p>
    <w:p w:rsidR="00CB1B6E" w:rsidRPr="00C46FE2" w:rsidRDefault="00CB1B6E" w:rsidP="00CB1B6E">
      <w:pPr>
        <w:jc w:val="center"/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>§ 2</w:t>
      </w:r>
    </w:p>
    <w:p w:rsidR="00CB1B6E" w:rsidRPr="00AD7051" w:rsidRDefault="00CB1B6E" w:rsidP="00120F9F">
      <w:pPr>
        <w:pStyle w:val="Nagwek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AD7051">
        <w:rPr>
          <w:rFonts w:asciiTheme="minorHAnsi" w:hAnsiTheme="minorHAnsi" w:cstheme="minorHAnsi"/>
          <w:b w:val="0"/>
          <w:sz w:val="22"/>
          <w:szCs w:val="22"/>
        </w:rPr>
        <w:t xml:space="preserve">Ilekroć w niniejszych </w:t>
      </w:r>
      <w:r w:rsidR="00C50358" w:rsidRPr="00AD7051">
        <w:rPr>
          <w:rFonts w:asciiTheme="minorHAnsi" w:hAnsiTheme="minorHAnsi" w:cstheme="minorHAnsi"/>
          <w:b w:val="0"/>
          <w:sz w:val="22"/>
          <w:szCs w:val="22"/>
        </w:rPr>
        <w:t>„</w:t>
      </w:r>
      <w:r w:rsidRPr="00AD7051">
        <w:rPr>
          <w:rFonts w:asciiTheme="minorHAnsi" w:hAnsiTheme="minorHAnsi" w:cstheme="minorHAnsi"/>
          <w:b w:val="0"/>
          <w:sz w:val="22"/>
          <w:szCs w:val="22"/>
        </w:rPr>
        <w:t xml:space="preserve">Zasadach </w:t>
      </w:r>
      <w:r w:rsidR="00AD7051" w:rsidRPr="00AD7051">
        <w:rPr>
          <w:rFonts w:asciiTheme="minorHAnsi" w:hAnsiTheme="minorHAnsi" w:cstheme="minorHAnsi"/>
          <w:b w:val="0"/>
          <w:sz w:val="22"/>
          <w:szCs w:val="22"/>
        </w:rPr>
        <w:t>zwrotu kosztów wynagrodzeń, nagród i składki na ubezpieczenie społeczne poniesionych przez pracodawcę za zatrudnionych pracowników w trybie art. 21 ust.</w:t>
      </w:r>
      <w:r w:rsidR="00120F9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D7051" w:rsidRPr="00AD7051">
        <w:rPr>
          <w:rFonts w:asciiTheme="minorHAnsi" w:hAnsiTheme="minorHAnsi" w:cstheme="minorHAnsi"/>
          <w:b w:val="0"/>
          <w:sz w:val="22"/>
          <w:szCs w:val="22"/>
        </w:rPr>
        <w:t>1 ustawy z 16.09.2011r. o szczególnych rozwiązaniach związanych z usuwaniem skutków powodzi</w:t>
      </w:r>
      <w:r w:rsidR="00AD705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50358" w:rsidRPr="00AD7051">
        <w:rPr>
          <w:rFonts w:asciiTheme="minorHAnsi" w:hAnsiTheme="minorHAnsi" w:cstheme="minorHAnsi"/>
          <w:b w:val="0"/>
          <w:sz w:val="22"/>
          <w:szCs w:val="22"/>
        </w:rPr>
        <w:t xml:space="preserve">w Powiatowym Urzędzie Pracy w Kamiennej Górze </w:t>
      </w:r>
      <w:r w:rsidR="00B5392F" w:rsidRPr="00AD7051">
        <w:rPr>
          <w:rFonts w:asciiTheme="minorHAnsi" w:hAnsiTheme="minorHAnsi" w:cstheme="minorHAnsi"/>
          <w:b w:val="0"/>
          <w:sz w:val="22"/>
          <w:szCs w:val="22"/>
        </w:rPr>
        <w:t xml:space="preserve">finansowanych ze środków </w:t>
      </w:r>
      <w:r w:rsidR="003D0E98" w:rsidRPr="00AD7051">
        <w:rPr>
          <w:rFonts w:asciiTheme="minorHAnsi" w:hAnsiTheme="minorHAnsi" w:cstheme="minorHAnsi"/>
          <w:b w:val="0"/>
          <w:sz w:val="22"/>
          <w:szCs w:val="22"/>
        </w:rPr>
        <w:t>Funduszu Pracy</w:t>
      </w:r>
      <w:r w:rsidR="00C50358" w:rsidRPr="00AD7051">
        <w:rPr>
          <w:rFonts w:asciiTheme="minorHAnsi" w:hAnsiTheme="minorHAnsi" w:cstheme="minorHAnsi"/>
          <w:b w:val="0"/>
          <w:sz w:val="22"/>
          <w:szCs w:val="22"/>
        </w:rPr>
        <w:t>”</w:t>
      </w:r>
      <w:r w:rsidRPr="00AD7051">
        <w:rPr>
          <w:rFonts w:asciiTheme="minorHAnsi" w:hAnsiTheme="minorHAnsi" w:cstheme="minorHAnsi"/>
          <w:b w:val="0"/>
          <w:sz w:val="22"/>
          <w:szCs w:val="22"/>
        </w:rPr>
        <w:t>, zwanych dalej Zasadami,  mowa jest o:</w:t>
      </w:r>
      <w:r w:rsidRPr="004A047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D7051" w:rsidRPr="00AD7051" w:rsidRDefault="00CB1B6E" w:rsidP="00120F9F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AD7051">
        <w:rPr>
          <w:rFonts w:asciiTheme="minorHAnsi" w:hAnsiTheme="minorHAnsi" w:cstheme="minorHAnsi"/>
        </w:rPr>
        <w:t xml:space="preserve">Ustawie – należy przez to rozumieć ustawę z </w:t>
      </w:r>
      <w:r w:rsidR="00AD7051">
        <w:rPr>
          <w:rFonts w:asciiTheme="minorHAnsi" w:hAnsiTheme="minorHAnsi" w:cstheme="minorHAnsi"/>
        </w:rPr>
        <w:t xml:space="preserve">16.09.2011r. o szczególnych rozwiązaniach związanych z usuwaniem skutków powodzi; </w:t>
      </w:r>
    </w:p>
    <w:p w:rsidR="00CB1B6E" w:rsidRPr="00AD7051" w:rsidRDefault="00CB1B6E" w:rsidP="00120F9F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AD7051">
        <w:rPr>
          <w:rFonts w:cs="Calibri"/>
        </w:rPr>
        <w:t>Rozporządzeniu – należy przez to rozumieć Rozporządzenie Ministra Pracy i Polityki Społecznej</w:t>
      </w:r>
      <w:r w:rsidR="00C50358" w:rsidRPr="00AD7051">
        <w:rPr>
          <w:rFonts w:cs="Calibri"/>
        </w:rPr>
        <w:t xml:space="preserve"> z</w:t>
      </w:r>
      <w:r w:rsidRPr="00AD7051">
        <w:rPr>
          <w:rFonts w:cs="Calibri"/>
        </w:rPr>
        <w:t xml:space="preserve"> dnia 24 czerwca 2014 r. w sprawie organizowania prac interwencyjnych  i robót publicznych oraz jednorazowej refundacji kosztów z tytułu opłaconych składek na ubezpieczenia społeczne; </w:t>
      </w:r>
    </w:p>
    <w:p w:rsidR="00CB1B6E" w:rsidRDefault="00CB1B6E" w:rsidP="00120F9F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C50358">
        <w:rPr>
          <w:rFonts w:cs="Calibri"/>
        </w:rPr>
        <w:t xml:space="preserve">Urzędzie – oznacza to Powiatowy Urząd Pracy w </w:t>
      </w:r>
      <w:r w:rsidR="00C50358">
        <w:rPr>
          <w:rFonts w:cs="Calibri"/>
        </w:rPr>
        <w:t>Kamiennej Górze</w:t>
      </w:r>
      <w:r w:rsidRPr="00C50358">
        <w:rPr>
          <w:rFonts w:cs="Calibri"/>
        </w:rPr>
        <w:t>;</w:t>
      </w:r>
    </w:p>
    <w:p w:rsidR="00C50358" w:rsidRDefault="00C50358" w:rsidP="00120F9F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C50358">
        <w:rPr>
          <w:rFonts w:cs="Calibri"/>
        </w:rPr>
        <w:t xml:space="preserve">Dyrektorze – oznacza to Dyrektora Powiatowego Urzędu Pracy w </w:t>
      </w:r>
      <w:r>
        <w:rPr>
          <w:rFonts w:cs="Calibri"/>
        </w:rPr>
        <w:t>Kamiennej Górze;</w:t>
      </w:r>
    </w:p>
    <w:p w:rsidR="00C50358" w:rsidRDefault="00C50358" w:rsidP="00120F9F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C50358">
        <w:rPr>
          <w:rFonts w:cs="Calibri"/>
        </w:rPr>
        <w:t xml:space="preserve">Staroście – oznacza to Starostę Kamiennogórskiego reprezentowanego przez upoważnionego Dyrektora Powiatowego Urzędu Pracy w </w:t>
      </w:r>
      <w:r>
        <w:rPr>
          <w:rFonts w:cs="Calibri"/>
        </w:rPr>
        <w:t>Kamiennej Górze</w:t>
      </w:r>
      <w:r w:rsidRPr="00C50358">
        <w:rPr>
          <w:rFonts w:cs="Calibri"/>
        </w:rPr>
        <w:t xml:space="preserve"> lub upoważnionego Zastępcę Dyrektora; </w:t>
      </w:r>
    </w:p>
    <w:p w:rsidR="00C50358" w:rsidRDefault="00C50358" w:rsidP="00120F9F">
      <w:pPr>
        <w:pStyle w:val="Akapitzlist"/>
        <w:numPr>
          <w:ilvl w:val="0"/>
          <w:numId w:val="5"/>
        </w:numPr>
        <w:jc w:val="both"/>
        <w:rPr>
          <w:rFonts w:cs="Calibri"/>
        </w:rPr>
      </w:pPr>
      <w:r w:rsidRPr="00C50358">
        <w:rPr>
          <w:rFonts w:cs="Calibri"/>
        </w:rPr>
        <w:t>Pracodawcy - oznacza to jednostkę organizacyjną, chociażby nie</w:t>
      </w:r>
      <w:r>
        <w:rPr>
          <w:rFonts w:cs="Calibri"/>
        </w:rPr>
        <w:t xml:space="preserve"> posiadała osobowości prawnej, </w:t>
      </w:r>
      <w:r w:rsidRPr="00C50358">
        <w:rPr>
          <w:rFonts w:cs="Calibri"/>
        </w:rPr>
        <w:t>a także osobę fizyczną, jeżeli zatrudniają one co najmniej jednego pracownika</w:t>
      </w:r>
      <w:r w:rsidR="00FD6ECD">
        <w:rPr>
          <w:rFonts w:cs="Calibri"/>
        </w:rPr>
        <w:t>.</w:t>
      </w:r>
      <w:r w:rsidRPr="00C50358">
        <w:rPr>
          <w:rFonts w:cs="Calibri"/>
        </w:rPr>
        <w:t xml:space="preserve"> </w:t>
      </w:r>
    </w:p>
    <w:p w:rsidR="00C50358" w:rsidRPr="00C50358" w:rsidRDefault="00C50358" w:rsidP="00C50358">
      <w:pPr>
        <w:jc w:val="center"/>
        <w:rPr>
          <w:rFonts w:asciiTheme="minorHAnsi" w:hAnsiTheme="minorHAnsi" w:cstheme="minorHAnsi"/>
        </w:rPr>
      </w:pPr>
      <w:r w:rsidRPr="00C50358">
        <w:rPr>
          <w:rFonts w:asciiTheme="minorHAnsi" w:hAnsiTheme="minorHAnsi" w:cstheme="minorHAnsi"/>
        </w:rPr>
        <w:t>§ 3</w:t>
      </w:r>
    </w:p>
    <w:p w:rsidR="009906B7" w:rsidRDefault="00AD7051" w:rsidP="00120F9F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 z  art.  21 ust.</w:t>
      </w:r>
      <w:r w:rsidR="00120F9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 </w:t>
      </w:r>
      <w:r w:rsidR="00C50358" w:rsidRPr="00C50358">
        <w:rPr>
          <w:rFonts w:asciiTheme="minorHAnsi" w:hAnsiTheme="minorHAnsi" w:cstheme="minorHAnsi"/>
        </w:rPr>
        <w:t xml:space="preserve">ustawy  Starosta  może  </w:t>
      </w:r>
      <w:r>
        <w:rPr>
          <w:rFonts w:asciiTheme="minorHAnsi" w:hAnsiTheme="minorHAnsi" w:cstheme="minorHAnsi"/>
        </w:rPr>
        <w:t>w trybie określonym dla prac interwencyjnych, o których mowa w przepisach ustawy o promocji zatrudnienia, biorąc pod uwagę zakres i skalę zniszczeń u pracodawcy</w:t>
      </w:r>
      <w:r w:rsidR="00904F8B">
        <w:rPr>
          <w:rFonts w:asciiTheme="minorHAnsi" w:hAnsiTheme="minorHAnsi" w:cstheme="minorHAnsi"/>
        </w:rPr>
        <w:t xml:space="preserve"> spowodowanych powodzią oraz możliwością utrzymania przez pracodawcę miejsc pracy, dokonywać ze </w:t>
      </w:r>
      <w:r w:rsidR="00C50358" w:rsidRPr="00C50358">
        <w:rPr>
          <w:rFonts w:asciiTheme="minorHAnsi" w:hAnsiTheme="minorHAnsi" w:cstheme="minorHAnsi"/>
        </w:rPr>
        <w:t>środków  Funduszu  Pracy</w:t>
      </w:r>
      <w:r w:rsidR="00904F8B">
        <w:rPr>
          <w:rFonts w:asciiTheme="minorHAnsi" w:hAnsiTheme="minorHAnsi" w:cstheme="minorHAnsi"/>
        </w:rPr>
        <w:t xml:space="preserve"> zwrotu przez okres do </w:t>
      </w:r>
      <w:r w:rsidR="00E03A9A">
        <w:rPr>
          <w:rFonts w:asciiTheme="minorHAnsi" w:hAnsiTheme="minorHAnsi" w:cstheme="minorHAnsi"/>
        </w:rPr>
        <w:t xml:space="preserve">12 miesięcy, poniesionych przez pracodawcę, którego zakład został zniszczony na skutek powodzi, kosztów na </w:t>
      </w:r>
      <w:r w:rsidR="00C50358" w:rsidRPr="00E03A9A">
        <w:rPr>
          <w:rFonts w:asciiTheme="minorHAnsi" w:hAnsiTheme="minorHAnsi" w:cstheme="minorHAnsi"/>
        </w:rPr>
        <w:t xml:space="preserve">wynagrodzenia, nagrody oraz składki na ubezpieczenia społeczne </w:t>
      </w:r>
      <w:r w:rsidR="00E03A9A">
        <w:rPr>
          <w:rFonts w:asciiTheme="minorHAnsi" w:hAnsiTheme="minorHAnsi" w:cstheme="minorHAnsi"/>
        </w:rPr>
        <w:t>zatrudnianych pracowników</w:t>
      </w:r>
      <w:r w:rsidR="009906B7">
        <w:rPr>
          <w:rFonts w:asciiTheme="minorHAnsi" w:hAnsiTheme="minorHAnsi" w:cstheme="minorHAnsi"/>
        </w:rPr>
        <w:t>.</w:t>
      </w:r>
      <w:r w:rsidR="00E03A9A">
        <w:rPr>
          <w:rFonts w:asciiTheme="minorHAnsi" w:hAnsiTheme="minorHAnsi" w:cstheme="minorHAnsi"/>
        </w:rPr>
        <w:t xml:space="preserve"> </w:t>
      </w:r>
    </w:p>
    <w:p w:rsidR="00E03A9A" w:rsidRDefault="00E03A9A" w:rsidP="00120F9F">
      <w:pPr>
        <w:pStyle w:val="Akapitzlist"/>
        <w:spacing w:after="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wysokości nieprzekraczającej</w:t>
      </w:r>
      <w:r w:rsidR="009906B7">
        <w:rPr>
          <w:rFonts w:asciiTheme="minorHAnsi" w:hAnsiTheme="minorHAnsi" w:cstheme="minorHAnsi"/>
        </w:rPr>
        <w:t xml:space="preserve"> miesięcznie iloczynu dwukrotnego minimalnego wynagrodzenia za pracę i liczby zatrudnionych pracowników , w przeliczeniu na pełny wymiar czasu, pod warunkiem że pracodawca nie zmniejszy w tym okresie liczby zatrudnionych pracowników w stosunku do stanu na dzień podpisania umowy o refundację. </w:t>
      </w:r>
    </w:p>
    <w:p w:rsidR="00E03A9A" w:rsidRDefault="00E03A9A" w:rsidP="00E03A9A">
      <w:pPr>
        <w:rPr>
          <w:rFonts w:asciiTheme="minorHAnsi" w:hAnsiTheme="minorHAnsi" w:cstheme="minorHAnsi"/>
        </w:rPr>
      </w:pPr>
    </w:p>
    <w:p w:rsidR="00C50358" w:rsidRPr="00E03A9A" w:rsidRDefault="00C50358" w:rsidP="00E03A9A">
      <w:pPr>
        <w:rPr>
          <w:rFonts w:asciiTheme="minorHAnsi" w:hAnsiTheme="minorHAnsi" w:cstheme="minorHAnsi"/>
        </w:rPr>
      </w:pPr>
      <w:r w:rsidRPr="00E03A9A">
        <w:rPr>
          <w:rFonts w:asciiTheme="minorHAnsi" w:hAnsiTheme="minorHAnsi" w:cstheme="minorHAnsi"/>
        </w:rPr>
        <w:t xml:space="preserve"> </w:t>
      </w:r>
    </w:p>
    <w:p w:rsidR="009906B7" w:rsidRPr="009906B7" w:rsidRDefault="009906B7" w:rsidP="00120F9F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Wysokość refundacji przysługuje w wysokości nieprzekraczającej miesięcznie iloczynu dwukrotnego minimalnego wynagrodzenia za pracę i liczby zatrudnionych pracowników , w przeliczeniu na pełny wymiar czasu, pod warunkiem że pracodawca nie zmniejszy w tym okresie liczby zatrudnionych pracowników w stosunku do stanu na dzień podpisania umowy o refundację i jest uzależniona od zakresu i skali zniszczeń u pracodawcy spowodowanych powodzią.</w:t>
      </w:r>
    </w:p>
    <w:p w:rsidR="00C50358" w:rsidRDefault="00C50358" w:rsidP="00120F9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C50358">
        <w:rPr>
          <w:rFonts w:asciiTheme="minorHAnsi" w:hAnsiTheme="minorHAnsi" w:cstheme="minorHAnsi"/>
        </w:rPr>
        <w:t>Refundację, o której mowa w ust. 1, przyznaje z upoważnienia Starosty Dyrektor. Przyznanie refundacji następuje na podstawie umowy cywilnoprawnej  zawieranej  z  pracodawcą.  W  sprawach  wątpliwych  ostateczną  decyzję</w:t>
      </w:r>
      <w:r w:rsidR="00C46FE2">
        <w:rPr>
          <w:rFonts w:asciiTheme="minorHAnsi" w:hAnsiTheme="minorHAnsi" w:cstheme="minorHAnsi"/>
        </w:rPr>
        <w:t xml:space="preserve"> </w:t>
      </w:r>
      <w:r w:rsidRPr="00C46FE2">
        <w:rPr>
          <w:rFonts w:asciiTheme="minorHAnsi" w:hAnsiTheme="minorHAnsi" w:cstheme="minorHAnsi"/>
        </w:rPr>
        <w:t>o przyznaniu refundacji podejmuje Dyrektor.</w:t>
      </w:r>
    </w:p>
    <w:p w:rsidR="00C46FE2" w:rsidRDefault="009906B7" w:rsidP="00120F9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33603">
        <w:rPr>
          <w:rFonts w:asciiTheme="minorHAnsi" w:hAnsiTheme="minorHAnsi" w:cstheme="minorHAnsi"/>
        </w:rPr>
        <w:t>Wnioskodawcą może być wyłącznie</w:t>
      </w:r>
      <w:r w:rsidR="00C46FE2" w:rsidRPr="00733603">
        <w:rPr>
          <w:rFonts w:asciiTheme="minorHAnsi" w:hAnsiTheme="minorHAnsi" w:cstheme="minorHAnsi"/>
        </w:rPr>
        <w:t xml:space="preserve"> pracodawca. </w:t>
      </w:r>
    </w:p>
    <w:p w:rsidR="009906B7" w:rsidRPr="00733603" w:rsidRDefault="009906B7" w:rsidP="00120F9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733603">
        <w:rPr>
          <w:rFonts w:asciiTheme="minorHAnsi" w:hAnsiTheme="minorHAnsi" w:cstheme="minorHAnsi"/>
        </w:rPr>
        <w:t>O zwrot kosztów może ubiegać się</w:t>
      </w:r>
      <w:r w:rsidR="003D11A0" w:rsidRPr="00733603">
        <w:rPr>
          <w:rFonts w:asciiTheme="minorHAnsi" w:hAnsiTheme="minorHAnsi" w:cstheme="minorHAnsi"/>
        </w:rPr>
        <w:t xml:space="preserve"> pracodawca</w:t>
      </w:r>
      <w:r w:rsidR="00C46FE2" w:rsidRPr="00733603">
        <w:rPr>
          <w:rFonts w:asciiTheme="minorHAnsi" w:hAnsiTheme="minorHAnsi" w:cstheme="minorHAnsi"/>
        </w:rPr>
        <w:t xml:space="preserve">: </w:t>
      </w:r>
    </w:p>
    <w:p w:rsidR="003A0FE9" w:rsidRDefault="003A0FE9" w:rsidP="00120F9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którego zakład został zniszczony na skutek powodzi w miesiącu wrześniu 2024r.,mający siedzibę na terenie gminy, o której mowa w </w:t>
      </w:r>
      <w:r>
        <w:t>Rozporządzeniu Rady Ministrów z 16.09.2024r. w sprawie wykazu gmin, w których są stosowane szczególne rozwiązania związane z usuwaniem skutków powodzi z września 2024r. oraz rozwiązań stosowanych na ich terenie (poz. 1371),</w:t>
      </w:r>
    </w:p>
    <w:p w:rsidR="003D11A0" w:rsidRPr="003D11A0" w:rsidRDefault="003D11A0" w:rsidP="00120F9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który nie zmniejszy w okresie obowiązywania umowy liczby zatrudnionych pracowników w stosunku do stanu na dzień podpisania umowy o refundację, </w:t>
      </w:r>
    </w:p>
    <w:p w:rsidR="00C46FE2" w:rsidRDefault="00C46FE2" w:rsidP="00120F9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C46FE2">
        <w:rPr>
          <w:rFonts w:asciiTheme="minorHAnsi" w:hAnsiTheme="minorHAnsi" w:cstheme="minorHAnsi"/>
        </w:rPr>
        <w:t xml:space="preserve">nie  zalega  z  zapłatą  wynagrodzeń  pracownikom,  należnych  składek  na  ubezpieczenia społeczne,  ubezpieczenie  zdrowotne,  Fundusz  Pracy,  Fundusz  Gwarantowanych  Świadczeń Pracowniczych oraz innych danin publicznych, </w:t>
      </w:r>
    </w:p>
    <w:p w:rsidR="0046731F" w:rsidRPr="003A0FE9" w:rsidRDefault="00765C31" w:rsidP="00120F9F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3A0FE9">
        <w:rPr>
          <w:rFonts w:asciiTheme="minorHAnsi" w:hAnsiTheme="minorHAnsi" w:cstheme="minorHAnsi"/>
          <w:color w:val="000000"/>
        </w:rPr>
        <w:t>który nie jest objęty sankcjami związanymi z agresją Federacji Rosyjskiej na Ukrainę. Urząd dokona sprawdzenia powyższego warunku w oparciu o listę sankcyjną publikowaną na stronie BIP MSWiA (powyższe dotyczy zarówno wnioskodawcy jak i podmiotów i osób z nim powiązanych).</w:t>
      </w:r>
    </w:p>
    <w:p w:rsidR="0046731F" w:rsidRDefault="0046731F" w:rsidP="0046731F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6731F" w:rsidRPr="0046731F" w:rsidRDefault="00733603" w:rsidP="00F0161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Rozdział II</w:t>
      </w:r>
    </w:p>
    <w:p w:rsidR="0046731F" w:rsidRPr="0046731F" w:rsidRDefault="0046731F" w:rsidP="00F0161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>Tryb składania i rozpatrywania wniosków</w:t>
      </w:r>
    </w:p>
    <w:p w:rsidR="00F01617" w:rsidRDefault="00F01617" w:rsidP="00F0161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46731F" w:rsidRPr="0046731F" w:rsidRDefault="003A0FE9" w:rsidP="00F0161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4</w:t>
      </w:r>
    </w:p>
    <w:p w:rsidR="00F01617" w:rsidRPr="007332D4" w:rsidRDefault="0046731F" w:rsidP="003A0FE9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 xml:space="preserve">Pracodawca  </w:t>
      </w:r>
      <w:r w:rsidR="003A0FE9">
        <w:rPr>
          <w:rFonts w:asciiTheme="minorHAnsi" w:hAnsiTheme="minorHAnsi" w:cstheme="minorHAnsi"/>
          <w:sz w:val="22"/>
          <w:szCs w:val="22"/>
        </w:rPr>
        <w:t xml:space="preserve">ubiegający </w:t>
      </w:r>
      <w:r w:rsidRPr="0046731F">
        <w:rPr>
          <w:rFonts w:asciiTheme="minorHAnsi" w:hAnsiTheme="minorHAnsi" w:cstheme="minorHAnsi"/>
          <w:sz w:val="22"/>
          <w:szCs w:val="22"/>
        </w:rPr>
        <w:t xml:space="preserve">się  o  refundację  </w:t>
      </w:r>
      <w:r w:rsidR="003A0FE9" w:rsidRPr="00AD7051">
        <w:rPr>
          <w:rFonts w:asciiTheme="minorHAnsi" w:hAnsiTheme="minorHAnsi" w:cstheme="minorHAnsi"/>
          <w:sz w:val="22"/>
          <w:szCs w:val="22"/>
        </w:rPr>
        <w:t>kosztów wynagrodzeń, nagród i składki na ubezpieczenie społeczne poniesionych przez pracodaw</w:t>
      </w:r>
      <w:r w:rsidR="003A0FE9">
        <w:rPr>
          <w:rFonts w:asciiTheme="minorHAnsi" w:hAnsiTheme="minorHAnsi" w:cstheme="minorHAnsi"/>
          <w:sz w:val="22"/>
          <w:szCs w:val="22"/>
        </w:rPr>
        <w:t xml:space="preserve">cę za zatrudnionych pracowników </w:t>
      </w:r>
      <w:r w:rsidRPr="00F01617">
        <w:rPr>
          <w:rFonts w:asciiTheme="minorHAnsi" w:hAnsiTheme="minorHAnsi" w:cstheme="minorHAnsi"/>
          <w:sz w:val="22"/>
          <w:szCs w:val="22"/>
        </w:rPr>
        <w:t>składa wniosek wraz z wymaganymi załącznikami</w:t>
      </w:r>
      <w:r w:rsidR="00F01617" w:rsidRPr="00F01617">
        <w:rPr>
          <w:rFonts w:asciiTheme="minorHAnsi" w:hAnsiTheme="minorHAnsi" w:cstheme="minorHAnsi"/>
          <w:sz w:val="22"/>
          <w:szCs w:val="22"/>
        </w:rPr>
        <w:t xml:space="preserve"> </w:t>
      </w:r>
      <w:r w:rsidR="00765C31">
        <w:rPr>
          <w:rFonts w:asciiTheme="minorHAnsi" w:hAnsiTheme="minorHAnsi" w:cstheme="minorHAnsi"/>
          <w:sz w:val="22"/>
          <w:szCs w:val="22"/>
        </w:rPr>
        <w:t xml:space="preserve">w formie papierowej </w:t>
      </w:r>
      <w:r w:rsidR="007332D4">
        <w:rPr>
          <w:rFonts w:asciiTheme="minorHAnsi" w:hAnsiTheme="minorHAnsi" w:cstheme="minorHAnsi"/>
          <w:sz w:val="22"/>
          <w:szCs w:val="22"/>
        </w:rPr>
        <w:t>w kancelarii</w:t>
      </w:r>
      <w:r w:rsidRPr="007332D4">
        <w:rPr>
          <w:rFonts w:asciiTheme="minorHAnsi" w:hAnsiTheme="minorHAnsi" w:cstheme="minorHAnsi"/>
          <w:sz w:val="22"/>
          <w:szCs w:val="22"/>
        </w:rPr>
        <w:t xml:space="preserve"> </w:t>
      </w:r>
      <w:r w:rsidR="00F01617" w:rsidRPr="007332D4">
        <w:rPr>
          <w:rFonts w:asciiTheme="minorHAnsi" w:hAnsiTheme="minorHAnsi" w:cstheme="minorHAnsi"/>
          <w:sz w:val="22"/>
          <w:szCs w:val="22"/>
        </w:rPr>
        <w:t>Urzędu</w:t>
      </w:r>
      <w:r w:rsidR="00BE7378" w:rsidRPr="007332D4">
        <w:rPr>
          <w:rFonts w:asciiTheme="minorHAnsi" w:hAnsiTheme="minorHAnsi" w:cstheme="minorHAnsi"/>
          <w:sz w:val="22"/>
          <w:szCs w:val="22"/>
        </w:rPr>
        <w:t xml:space="preserve"> lub </w:t>
      </w:r>
      <w:r w:rsidRPr="007332D4">
        <w:rPr>
          <w:rFonts w:asciiTheme="minorHAnsi" w:hAnsiTheme="minorHAnsi" w:cstheme="minorHAnsi"/>
          <w:sz w:val="22"/>
          <w:szCs w:val="22"/>
        </w:rPr>
        <w:t>za pośrednictwem operatora pocztowego</w:t>
      </w:r>
      <w:r w:rsidR="00BE7378" w:rsidRPr="007332D4">
        <w:rPr>
          <w:rFonts w:asciiTheme="minorHAnsi" w:hAnsiTheme="minorHAnsi" w:cstheme="minorHAnsi"/>
          <w:sz w:val="22"/>
          <w:szCs w:val="22"/>
        </w:rPr>
        <w:t xml:space="preserve"> lub </w:t>
      </w:r>
      <w:r w:rsidR="00765C31" w:rsidRPr="007332D4">
        <w:rPr>
          <w:rFonts w:asciiTheme="minorHAnsi" w:hAnsiTheme="minorHAnsi" w:cstheme="minorHAnsi"/>
          <w:sz w:val="22"/>
          <w:szCs w:val="22"/>
        </w:rPr>
        <w:t xml:space="preserve">w formie </w:t>
      </w:r>
      <w:r w:rsidR="00765C31" w:rsidRPr="00733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elektronicznej za pośrednictwem </w:t>
      </w:r>
      <w:r w:rsidR="003A0FE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65C31" w:rsidRPr="00733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ePUAP</w:t>
      </w:r>
      <w:proofErr w:type="spellEnd"/>
      <w:r w:rsidR="00765C31" w:rsidRPr="00733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 /</w:t>
      </w:r>
      <w:proofErr w:type="spellStart"/>
      <w:r w:rsidR="00765C31" w:rsidRPr="00733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PUPKamienna</w:t>
      </w:r>
      <w:proofErr w:type="spellEnd"/>
      <w:r w:rsidR="00765C31" w:rsidRPr="00733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/</w:t>
      </w:r>
      <w:proofErr w:type="spellStart"/>
      <w:r w:rsidR="00765C31" w:rsidRPr="007332D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SkrytkaESP</w:t>
      </w:r>
      <w:proofErr w:type="spellEnd"/>
      <w:r w:rsidRPr="007332D4">
        <w:rPr>
          <w:rFonts w:asciiTheme="minorHAnsi" w:hAnsiTheme="minorHAnsi" w:cstheme="minorHAnsi"/>
          <w:sz w:val="22"/>
          <w:szCs w:val="22"/>
        </w:rPr>
        <w:t>.</w:t>
      </w:r>
    </w:p>
    <w:p w:rsidR="0046731F" w:rsidRPr="007332D4" w:rsidRDefault="0046731F" w:rsidP="00F01617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332D4">
        <w:rPr>
          <w:rFonts w:asciiTheme="minorHAnsi" w:hAnsiTheme="minorHAnsi" w:cstheme="minorHAnsi"/>
          <w:sz w:val="22"/>
          <w:szCs w:val="22"/>
        </w:rPr>
        <w:t>Obowiązujący  druk  wniosku  udostępniany  jest  na</w:t>
      </w:r>
      <w:r w:rsidR="00F01617" w:rsidRPr="007332D4">
        <w:rPr>
          <w:rFonts w:asciiTheme="minorHAnsi" w:hAnsiTheme="minorHAnsi" w:cstheme="minorHAnsi"/>
          <w:sz w:val="22"/>
          <w:szCs w:val="22"/>
        </w:rPr>
        <w:t xml:space="preserve">  stronie  internetowej  Urzędu.</w:t>
      </w:r>
    </w:p>
    <w:p w:rsidR="0046731F" w:rsidRDefault="0046731F" w:rsidP="00F27657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1617">
        <w:rPr>
          <w:rFonts w:asciiTheme="minorHAnsi" w:hAnsiTheme="minorHAnsi" w:cstheme="minorHAnsi"/>
          <w:sz w:val="22"/>
          <w:szCs w:val="22"/>
        </w:rPr>
        <w:t xml:space="preserve">Przed przystąpieniem do wypełniania wniosku należy dokładnie zapoznać się z jego treścią,  aktami prawnymi  regulującymi  organizację  i  finansowanie  </w:t>
      </w:r>
      <w:r w:rsidR="003A0FE9">
        <w:rPr>
          <w:rFonts w:asciiTheme="minorHAnsi" w:hAnsiTheme="minorHAnsi" w:cstheme="minorHAnsi"/>
          <w:sz w:val="22"/>
          <w:szCs w:val="22"/>
        </w:rPr>
        <w:t xml:space="preserve">zwrotu </w:t>
      </w:r>
      <w:r w:rsidRPr="00F01617">
        <w:rPr>
          <w:rFonts w:asciiTheme="minorHAnsi" w:hAnsiTheme="minorHAnsi" w:cstheme="minorHAnsi"/>
          <w:sz w:val="22"/>
          <w:szCs w:val="22"/>
        </w:rPr>
        <w:t xml:space="preserve">oraz  niniejszymi </w:t>
      </w:r>
      <w:r w:rsidR="00F01617" w:rsidRPr="00F01617">
        <w:rPr>
          <w:rFonts w:asciiTheme="minorHAnsi" w:hAnsiTheme="minorHAnsi" w:cstheme="minorHAnsi"/>
          <w:sz w:val="22"/>
          <w:szCs w:val="22"/>
        </w:rPr>
        <w:t>z</w:t>
      </w:r>
      <w:r w:rsidRPr="00F01617">
        <w:rPr>
          <w:rFonts w:asciiTheme="minorHAnsi" w:hAnsiTheme="minorHAnsi" w:cstheme="minorHAnsi"/>
          <w:sz w:val="22"/>
          <w:szCs w:val="22"/>
        </w:rPr>
        <w:t xml:space="preserve">asadami. </w:t>
      </w:r>
    </w:p>
    <w:p w:rsidR="00F01617" w:rsidRDefault="00F01617" w:rsidP="00B65026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1617">
        <w:rPr>
          <w:rFonts w:asciiTheme="minorHAnsi" w:hAnsiTheme="minorHAnsi" w:cstheme="minorHAnsi"/>
          <w:sz w:val="22"/>
          <w:szCs w:val="22"/>
        </w:rPr>
        <w:t>Urząd  może  zażądać  dodatkowych  dokumentów,  informacji  lub  wyjaśnień  potwierdzających informacje zawarte we wniosku.</w:t>
      </w:r>
    </w:p>
    <w:p w:rsidR="00F01617" w:rsidRPr="00F01617" w:rsidRDefault="00F01617" w:rsidP="00311965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1617">
        <w:rPr>
          <w:rFonts w:asciiTheme="minorHAnsi" w:hAnsiTheme="minorHAnsi" w:cstheme="minorHAnsi"/>
          <w:sz w:val="22"/>
          <w:szCs w:val="22"/>
        </w:rPr>
        <w:t xml:space="preserve">Pracownicy  Urzędu  udzielają  ogólnych  informacji  na  temat  zasad,  jak  również  instrukcji wypełnienia wniosku, natomiast nie mogą sprawdzać roboczych oraz ostatecznych wersji wniosku przed jego złożeniem. </w:t>
      </w:r>
    </w:p>
    <w:p w:rsidR="002C321F" w:rsidRDefault="002C321F" w:rsidP="00F0161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F01617" w:rsidRPr="00F01617" w:rsidRDefault="003A0FE9" w:rsidP="00F0161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5</w:t>
      </w:r>
    </w:p>
    <w:p w:rsidR="00F01617" w:rsidRDefault="00F01617" w:rsidP="00D52431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1617">
        <w:rPr>
          <w:rFonts w:asciiTheme="minorHAnsi" w:hAnsiTheme="minorHAnsi" w:cstheme="minorHAnsi"/>
          <w:sz w:val="22"/>
          <w:szCs w:val="22"/>
        </w:rPr>
        <w:t>Wnioski rozpatrywane s</w:t>
      </w:r>
      <w:r w:rsidR="003A0FE9">
        <w:rPr>
          <w:rFonts w:asciiTheme="minorHAnsi" w:hAnsiTheme="minorHAnsi" w:cstheme="minorHAnsi"/>
          <w:sz w:val="22"/>
          <w:szCs w:val="22"/>
        </w:rPr>
        <w:t>ą w kolejności wpływu do Urzędu</w:t>
      </w:r>
      <w:r w:rsidRPr="00F0161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01617" w:rsidRDefault="00F01617" w:rsidP="00B05076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2431">
        <w:rPr>
          <w:rFonts w:asciiTheme="minorHAnsi" w:hAnsiTheme="minorHAnsi" w:cstheme="minorHAnsi"/>
          <w:sz w:val="22"/>
          <w:szCs w:val="22"/>
        </w:rPr>
        <w:t xml:space="preserve">Wnioski rozpatrywane są </w:t>
      </w:r>
      <w:r w:rsidR="00D52431" w:rsidRPr="00D52431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D52431">
        <w:rPr>
          <w:rFonts w:asciiTheme="minorHAnsi" w:hAnsiTheme="minorHAnsi" w:cstheme="minorHAnsi"/>
          <w:sz w:val="22"/>
          <w:szCs w:val="22"/>
        </w:rPr>
        <w:t xml:space="preserve">przepisami  prawa, </w:t>
      </w:r>
      <w:r w:rsidR="00D52431" w:rsidRPr="00D52431">
        <w:rPr>
          <w:rFonts w:asciiTheme="minorHAnsi" w:hAnsiTheme="minorHAnsi" w:cstheme="minorHAnsi"/>
          <w:sz w:val="22"/>
          <w:szCs w:val="22"/>
        </w:rPr>
        <w:t xml:space="preserve">zachowaniem </w:t>
      </w:r>
      <w:r w:rsidRPr="00D52431">
        <w:rPr>
          <w:rFonts w:asciiTheme="minorHAnsi" w:hAnsiTheme="minorHAnsi" w:cstheme="minorHAnsi"/>
          <w:sz w:val="22"/>
          <w:szCs w:val="22"/>
        </w:rPr>
        <w:t xml:space="preserve">dbałości  o  środki  publiczne  oraz zasad jawności, bezstronności i równego traktowania wnioskodawców. </w:t>
      </w:r>
    </w:p>
    <w:p w:rsidR="00F01617" w:rsidRDefault="00F01617" w:rsidP="00F01617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2431">
        <w:rPr>
          <w:rFonts w:asciiTheme="minorHAnsi" w:hAnsiTheme="minorHAnsi" w:cstheme="minorHAnsi"/>
          <w:sz w:val="22"/>
          <w:szCs w:val="22"/>
        </w:rPr>
        <w:t xml:space="preserve">Przy rozpatrywaniu wniosków o </w:t>
      </w:r>
      <w:r w:rsidR="003A0FE9">
        <w:rPr>
          <w:rFonts w:asciiTheme="minorHAnsi" w:hAnsiTheme="minorHAnsi" w:cstheme="minorHAnsi"/>
          <w:sz w:val="22"/>
          <w:szCs w:val="22"/>
        </w:rPr>
        <w:t xml:space="preserve">zwrot </w:t>
      </w:r>
      <w:r w:rsidR="003A0FE9" w:rsidRPr="00AD7051">
        <w:rPr>
          <w:rFonts w:asciiTheme="minorHAnsi" w:hAnsiTheme="minorHAnsi" w:cstheme="minorHAnsi"/>
          <w:sz w:val="22"/>
          <w:szCs w:val="22"/>
        </w:rPr>
        <w:t xml:space="preserve">kosztów wynagrodzeń, nagród i składki na ubezpieczenie społeczne poniesionych przez pracodawcę za zatrudnionych pracowników </w:t>
      </w:r>
      <w:r w:rsidRPr="00D52431">
        <w:rPr>
          <w:rFonts w:asciiTheme="minorHAnsi" w:hAnsiTheme="minorHAnsi" w:cstheme="minorHAnsi"/>
          <w:sz w:val="22"/>
          <w:szCs w:val="22"/>
        </w:rPr>
        <w:t xml:space="preserve">stosuje się następujące kryteria: </w:t>
      </w:r>
    </w:p>
    <w:p w:rsidR="00F01617" w:rsidRDefault="00F01617" w:rsidP="00D52431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01617">
        <w:rPr>
          <w:rFonts w:asciiTheme="minorHAnsi" w:hAnsiTheme="minorHAnsi" w:cstheme="minorHAnsi"/>
          <w:sz w:val="22"/>
          <w:szCs w:val="22"/>
        </w:rPr>
        <w:t xml:space="preserve">spełnienie warunków formalnych i merytorycznych wynikających z ustawy, rozporządzenia, innych przepisów prawa oraz niniejszych Zasad; </w:t>
      </w:r>
    </w:p>
    <w:p w:rsidR="003A0FE9" w:rsidRDefault="003A0FE9" w:rsidP="00D52431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zakres i skalę zniszczeń u pracodawcy spowodowanych powodzią;</w:t>
      </w:r>
    </w:p>
    <w:p w:rsidR="003A0FE9" w:rsidRDefault="003A0FE9" w:rsidP="00D52431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możliwość utrzymania przez pracodawcę miejsc pracy;</w:t>
      </w:r>
    </w:p>
    <w:p w:rsidR="00F01617" w:rsidRDefault="00F01617" w:rsidP="0082346A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2431">
        <w:rPr>
          <w:rFonts w:asciiTheme="minorHAnsi" w:hAnsiTheme="minorHAnsi" w:cstheme="minorHAnsi"/>
          <w:sz w:val="22"/>
          <w:szCs w:val="22"/>
        </w:rPr>
        <w:t>celowe i</w:t>
      </w:r>
      <w:r w:rsidR="00D52431">
        <w:rPr>
          <w:rFonts w:asciiTheme="minorHAnsi" w:hAnsiTheme="minorHAnsi" w:cstheme="minorHAnsi"/>
          <w:sz w:val="22"/>
          <w:szCs w:val="22"/>
        </w:rPr>
        <w:t xml:space="preserve"> </w:t>
      </w:r>
      <w:r w:rsidRPr="00D52431">
        <w:rPr>
          <w:rFonts w:asciiTheme="minorHAnsi" w:hAnsiTheme="minorHAnsi" w:cstheme="minorHAnsi"/>
          <w:sz w:val="22"/>
          <w:szCs w:val="22"/>
        </w:rPr>
        <w:t xml:space="preserve">racjonalne wydatkowanie środków publicznych wynikające z  ustawy  o finansach </w:t>
      </w:r>
      <w:r w:rsidR="00D52431">
        <w:rPr>
          <w:rFonts w:asciiTheme="minorHAnsi" w:hAnsiTheme="minorHAnsi" w:cstheme="minorHAnsi"/>
          <w:sz w:val="22"/>
          <w:szCs w:val="22"/>
        </w:rPr>
        <w:t>publicznych;</w:t>
      </w:r>
    </w:p>
    <w:p w:rsidR="00F01617" w:rsidRDefault="00D52431" w:rsidP="00F01617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Ocena formalna</w:t>
      </w:r>
      <w:r w:rsidR="00F01617" w:rsidRPr="00F01617">
        <w:rPr>
          <w:rFonts w:asciiTheme="minorHAnsi" w:hAnsiTheme="minorHAnsi" w:cstheme="minorHAnsi"/>
          <w:sz w:val="22"/>
          <w:szCs w:val="22"/>
        </w:rPr>
        <w:t xml:space="preserve"> wniosku polega</w:t>
      </w:r>
      <w:r>
        <w:rPr>
          <w:rFonts w:asciiTheme="minorHAnsi" w:hAnsiTheme="minorHAnsi" w:cstheme="minorHAnsi"/>
          <w:sz w:val="22"/>
          <w:szCs w:val="22"/>
        </w:rPr>
        <w:t xml:space="preserve"> na sprawdzeniu czy wniosek</w:t>
      </w:r>
      <w:r w:rsidR="00F01617" w:rsidRPr="00F01617">
        <w:rPr>
          <w:rFonts w:asciiTheme="minorHAnsi" w:hAnsiTheme="minorHAnsi" w:cstheme="minorHAnsi"/>
          <w:sz w:val="22"/>
          <w:szCs w:val="22"/>
        </w:rPr>
        <w:t xml:space="preserve"> zawiera wszystkie </w:t>
      </w:r>
      <w:r>
        <w:rPr>
          <w:rFonts w:asciiTheme="minorHAnsi" w:hAnsiTheme="minorHAnsi" w:cstheme="minorHAnsi"/>
          <w:sz w:val="22"/>
          <w:szCs w:val="22"/>
        </w:rPr>
        <w:t>i</w:t>
      </w:r>
      <w:r w:rsidR="0012660F">
        <w:rPr>
          <w:rFonts w:asciiTheme="minorHAnsi" w:hAnsiTheme="minorHAnsi" w:cstheme="minorHAnsi"/>
          <w:sz w:val="22"/>
          <w:szCs w:val="22"/>
        </w:rPr>
        <w:t>nformacje,</w:t>
      </w:r>
      <w:r w:rsidR="00F01617" w:rsidRPr="00D52431">
        <w:rPr>
          <w:rFonts w:asciiTheme="minorHAnsi" w:hAnsiTheme="minorHAnsi" w:cstheme="minorHAnsi"/>
          <w:sz w:val="22"/>
          <w:szCs w:val="22"/>
        </w:rPr>
        <w:t xml:space="preserve"> załączniki i jest podpisany pr</w:t>
      </w:r>
      <w:r>
        <w:rPr>
          <w:rFonts w:asciiTheme="minorHAnsi" w:hAnsiTheme="minorHAnsi" w:cstheme="minorHAnsi"/>
          <w:sz w:val="22"/>
          <w:szCs w:val="22"/>
        </w:rPr>
        <w:t xml:space="preserve">zez wnioskodawcę </w:t>
      </w:r>
      <w:r w:rsidR="00F01617" w:rsidRPr="00D52431">
        <w:rPr>
          <w:rFonts w:asciiTheme="minorHAnsi" w:hAnsiTheme="minorHAnsi" w:cstheme="minorHAnsi"/>
          <w:sz w:val="22"/>
          <w:szCs w:val="22"/>
        </w:rPr>
        <w:t xml:space="preserve">we wskazanych miejscach. </w:t>
      </w:r>
    </w:p>
    <w:p w:rsidR="00F01617" w:rsidRDefault="00F01617" w:rsidP="002C1F16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52431">
        <w:rPr>
          <w:rFonts w:asciiTheme="minorHAnsi" w:hAnsiTheme="minorHAnsi" w:cstheme="minorHAnsi"/>
          <w:sz w:val="22"/>
          <w:szCs w:val="22"/>
        </w:rPr>
        <w:lastRenderedPageBreak/>
        <w:t>Jeżeli wniosek jest nieprawidłowo wypełniony lub niekompletny, wyznacza się wn</w:t>
      </w:r>
      <w:r w:rsidR="00D52431" w:rsidRPr="00D52431">
        <w:rPr>
          <w:rFonts w:asciiTheme="minorHAnsi" w:hAnsiTheme="minorHAnsi" w:cstheme="minorHAnsi"/>
          <w:sz w:val="22"/>
          <w:szCs w:val="22"/>
        </w:rPr>
        <w:t xml:space="preserve">ioskodawcy  </w:t>
      </w:r>
      <w:r w:rsidRPr="00D52431">
        <w:rPr>
          <w:rFonts w:asciiTheme="minorHAnsi" w:hAnsiTheme="minorHAnsi" w:cstheme="minorHAnsi"/>
          <w:sz w:val="22"/>
          <w:szCs w:val="22"/>
        </w:rPr>
        <w:t xml:space="preserve">co  najmniej  7-dniowy  termin  na  jego  uzupełnienie.  Wniosek  nieuzupełniony  we  wskazanym terminie pozostawia się bez rozpatrzenia. </w:t>
      </w:r>
    </w:p>
    <w:p w:rsidR="00F01617" w:rsidRPr="00F5103D" w:rsidRDefault="00F01617" w:rsidP="007B029C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5103D">
        <w:rPr>
          <w:rFonts w:asciiTheme="minorHAnsi" w:hAnsiTheme="minorHAnsi" w:cstheme="minorHAnsi"/>
          <w:sz w:val="22"/>
          <w:szCs w:val="22"/>
        </w:rPr>
        <w:t xml:space="preserve">Wniosek  kompletny  i  prawidłowo  sporządzony  podlega  ocenie  </w:t>
      </w:r>
      <w:r w:rsidR="00F5103D" w:rsidRPr="00F5103D">
        <w:rPr>
          <w:rFonts w:asciiTheme="minorHAnsi" w:hAnsiTheme="minorHAnsi" w:cstheme="minorHAnsi"/>
          <w:sz w:val="22"/>
          <w:szCs w:val="22"/>
        </w:rPr>
        <w:t xml:space="preserve">w oparciu o </w:t>
      </w:r>
      <w:r w:rsidRPr="00F5103D">
        <w:rPr>
          <w:rFonts w:asciiTheme="minorHAnsi" w:hAnsiTheme="minorHAnsi" w:cstheme="minorHAnsi"/>
          <w:sz w:val="22"/>
          <w:szCs w:val="22"/>
        </w:rPr>
        <w:t xml:space="preserve">warunki </w:t>
      </w:r>
      <w:r w:rsidR="00F5103D" w:rsidRPr="00F5103D">
        <w:rPr>
          <w:rFonts w:asciiTheme="minorHAnsi" w:hAnsiTheme="minorHAnsi" w:cstheme="minorHAnsi"/>
          <w:sz w:val="22"/>
          <w:szCs w:val="22"/>
        </w:rPr>
        <w:t>określone w przepisach oraz</w:t>
      </w:r>
      <w:r w:rsidR="00F5103D">
        <w:rPr>
          <w:rFonts w:asciiTheme="minorHAnsi" w:hAnsiTheme="minorHAnsi" w:cstheme="minorHAnsi"/>
          <w:sz w:val="22"/>
          <w:szCs w:val="22"/>
        </w:rPr>
        <w:t xml:space="preserve"> niniejszych</w:t>
      </w:r>
      <w:r w:rsidR="00F5103D" w:rsidRPr="00F5103D">
        <w:rPr>
          <w:rFonts w:asciiTheme="minorHAnsi" w:hAnsiTheme="minorHAnsi" w:cstheme="minorHAnsi"/>
          <w:sz w:val="22"/>
          <w:szCs w:val="22"/>
        </w:rPr>
        <w:t xml:space="preserve"> zasadach</w:t>
      </w:r>
      <w:r w:rsidR="00D52431" w:rsidRPr="00F5103D">
        <w:rPr>
          <w:rFonts w:asciiTheme="minorHAnsi" w:hAnsiTheme="minorHAnsi" w:cstheme="minorHAnsi"/>
          <w:sz w:val="22"/>
          <w:szCs w:val="22"/>
        </w:rPr>
        <w:t>.</w:t>
      </w:r>
    </w:p>
    <w:p w:rsidR="00F01617" w:rsidRDefault="00F01617" w:rsidP="0027677D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 xml:space="preserve">Dyrektor podejmuje </w:t>
      </w:r>
      <w:r w:rsidR="00E03CB0" w:rsidRPr="00E03CB0">
        <w:rPr>
          <w:rFonts w:asciiTheme="minorHAnsi" w:hAnsiTheme="minorHAnsi" w:cstheme="minorHAnsi"/>
          <w:sz w:val="22"/>
          <w:szCs w:val="22"/>
        </w:rPr>
        <w:t>ostateczną</w:t>
      </w:r>
      <w:r w:rsidRPr="00E03CB0">
        <w:rPr>
          <w:rFonts w:asciiTheme="minorHAnsi" w:hAnsiTheme="minorHAnsi" w:cstheme="minorHAnsi"/>
          <w:sz w:val="22"/>
          <w:szCs w:val="22"/>
        </w:rPr>
        <w:t xml:space="preserve"> decyzję  o  przyjęciu </w:t>
      </w:r>
      <w:r w:rsidR="00E03CB0">
        <w:rPr>
          <w:rFonts w:asciiTheme="minorHAnsi" w:hAnsiTheme="minorHAnsi" w:cstheme="minorHAnsi"/>
          <w:sz w:val="22"/>
          <w:szCs w:val="22"/>
        </w:rPr>
        <w:t>wniosku do</w:t>
      </w:r>
      <w:r w:rsidRPr="00E03CB0">
        <w:rPr>
          <w:rFonts w:asciiTheme="minorHAnsi" w:hAnsiTheme="minorHAnsi" w:cstheme="minorHAnsi"/>
          <w:sz w:val="22"/>
          <w:szCs w:val="22"/>
        </w:rPr>
        <w:t xml:space="preserve"> realizacji albo odmowie</w:t>
      </w:r>
      <w:r w:rsidR="00E03CB0">
        <w:rPr>
          <w:rFonts w:asciiTheme="minorHAnsi" w:hAnsiTheme="minorHAnsi" w:cstheme="minorHAnsi"/>
          <w:sz w:val="22"/>
          <w:szCs w:val="22"/>
        </w:rPr>
        <w:t xml:space="preserve"> jego realizacji</w:t>
      </w:r>
      <w:r w:rsidRPr="00E03CB0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01617" w:rsidRDefault="00F01617" w:rsidP="00D52431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 xml:space="preserve">Pracodawca powiadamiany jest o sposobie rozpatrzenia wniosku w formie pisemnej w ciągu 30 dni od  złożenia kompletnego wniosku. W </w:t>
      </w:r>
      <w:r w:rsidR="00E03CB0">
        <w:rPr>
          <w:rFonts w:asciiTheme="minorHAnsi" w:hAnsiTheme="minorHAnsi" w:cstheme="minorHAnsi"/>
          <w:sz w:val="22"/>
          <w:szCs w:val="22"/>
        </w:rPr>
        <w:t xml:space="preserve">przypadku </w:t>
      </w:r>
      <w:r w:rsidRPr="00E03CB0">
        <w:rPr>
          <w:rFonts w:asciiTheme="minorHAnsi" w:hAnsiTheme="minorHAnsi" w:cstheme="minorHAnsi"/>
          <w:sz w:val="22"/>
          <w:szCs w:val="22"/>
        </w:rPr>
        <w:t>odmowy uwzględnienia</w:t>
      </w:r>
      <w:r w:rsidR="00E03CB0">
        <w:rPr>
          <w:rFonts w:asciiTheme="minorHAnsi" w:hAnsiTheme="minorHAnsi" w:cstheme="minorHAnsi"/>
          <w:sz w:val="22"/>
          <w:szCs w:val="22"/>
        </w:rPr>
        <w:t xml:space="preserve"> </w:t>
      </w:r>
      <w:r w:rsidRPr="00E03CB0">
        <w:rPr>
          <w:rFonts w:asciiTheme="minorHAnsi" w:hAnsiTheme="minorHAnsi" w:cstheme="minorHAnsi"/>
          <w:sz w:val="22"/>
          <w:szCs w:val="22"/>
        </w:rPr>
        <w:t xml:space="preserve">wniosku podaje się przyczynę odmowy. </w:t>
      </w:r>
    </w:p>
    <w:p w:rsidR="00F01617" w:rsidRPr="00E03CB0" w:rsidRDefault="00F01617" w:rsidP="00C5422F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 xml:space="preserve">Kierowana do pracodawcy pisemna informacja o sposobie rozpatrzenia wniosku nie jest decyzją administracyjną w rozumieniu przepisów Kodeksu Postępowania Administracyjnego, tym samym nie przysługuje od niej odwołanie. </w:t>
      </w:r>
    </w:p>
    <w:p w:rsidR="001178B0" w:rsidRDefault="001178B0" w:rsidP="001178B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2C321F" w:rsidRDefault="002C321F" w:rsidP="00B05AC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E03CB0" w:rsidRPr="00E03CB0" w:rsidRDefault="00733603" w:rsidP="00B05AC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Rozdział III</w:t>
      </w:r>
    </w:p>
    <w:p w:rsidR="00E03CB0" w:rsidRPr="00E03CB0" w:rsidRDefault="00E03CB0" w:rsidP="00B05AC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Podstawowe postanowienia umowy i konsekwencje niewywiązania się</w:t>
      </w:r>
      <w:r w:rsidR="00B05ACF">
        <w:rPr>
          <w:rFonts w:asciiTheme="minorHAnsi" w:hAnsiTheme="minorHAnsi" w:cstheme="minorHAnsi"/>
          <w:sz w:val="22"/>
          <w:szCs w:val="22"/>
        </w:rPr>
        <w:t xml:space="preserve"> </w:t>
      </w:r>
      <w:r w:rsidRPr="00E03CB0">
        <w:rPr>
          <w:rFonts w:asciiTheme="minorHAnsi" w:hAnsiTheme="minorHAnsi" w:cstheme="minorHAnsi"/>
          <w:sz w:val="22"/>
          <w:szCs w:val="22"/>
        </w:rPr>
        <w:t>z warunków umowy</w:t>
      </w:r>
    </w:p>
    <w:p w:rsidR="002C321F" w:rsidRDefault="002C321F" w:rsidP="00B05AC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E03CB0" w:rsidRPr="00E03CB0" w:rsidRDefault="0012660F" w:rsidP="00B05AC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6</w:t>
      </w:r>
    </w:p>
    <w:p w:rsidR="00E03CB0" w:rsidRDefault="0012660F" w:rsidP="006E343F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Zwrot </w:t>
      </w:r>
      <w:r w:rsidRPr="00AD7051">
        <w:rPr>
          <w:rFonts w:asciiTheme="minorHAnsi" w:hAnsiTheme="minorHAnsi" w:cstheme="minorHAnsi"/>
          <w:sz w:val="22"/>
          <w:szCs w:val="22"/>
        </w:rPr>
        <w:t xml:space="preserve">kosztów wynagrodzeń, nagród i składki na ubezpieczenie społeczne poniesionych przez pracodawcę za zatrudnionych pracowników </w:t>
      </w:r>
      <w:r>
        <w:rPr>
          <w:rFonts w:asciiTheme="minorHAnsi" w:hAnsiTheme="minorHAnsi" w:cstheme="minorHAnsi"/>
          <w:sz w:val="22"/>
          <w:szCs w:val="22"/>
        </w:rPr>
        <w:t>dokonywany jest</w:t>
      </w:r>
      <w:r w:rsidR="00E03CB0" w:rsidRPr="000A74FE">
        <w:rPr>
          <w:rFonts w:asciiTheme="minorHAnsi" w:hAnsiTheme="minorHAnsi" w:cstheme="minorHAnsi"/>
          <w:sz w:val="22"/>
          <w:szCs w:val="22"/>
        </w:rPr>
        <w:t xml:space="preserve">  na  podstawie  pisemnej  umowy cywilnoprawnej zawieranej przez starostę z pracodawcą. </w:t>
      </w:r>
    </w:p>
    <w:p w:rsidR="00E03CB0" w:rsidRDefault="00E03CB0" w:rsidP="00E03CB0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A74FE">
        <w:rPr>
          <w:rFonts w:asciiTheme="minorHAnsi" w:hAnsiTheme="minorHAnsi" w:cstheme="minorHAnsi"/>
          <w:sz w:val="22"/>
          <w:szCs w:val="22"/>
        </w:rPr>
        <w:t xml:space="preserve">Umowa o </w:t>
      </w:r>
      <w:r w:rsidR="0012660F">
        <w:rPr>
          <w:rFonts w:asciiTheme="minorHAnsi" w:hAnsiTheme="minorHAnsi" w:cstheme="minorHAnsi"/>
          <w:sz w:val="22"/>
          <w:szCs w:val="22"/>
        </w:rPr>
        <w:t>zwrot</w:t>
      </w:r>
      <w:r w:rsidRPr="000A74FE">
        <w:rPr>
          <w:rFonts w:asciiTheme="minorHAnsi" w:hAnsiTheme="minorHAnsi" w:cstheme="minorHAnsi"/>
          <w:sz w:val="22"/>
          <w:szCs w:val="22"/>
        </w:rPr>
        <w:t xml:space="preserve"> określa m.in.: </w:t>
      </w:r>
    </w:p>
    <w:p w:rsidR="00E03CB0" w:rsidRDefault="00E03CB0" w:rsidP="000A74FE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liczbę zatrud</w:t>
      </w:r>
      <w:r w:rsidR="0012660F">
        <w:rPr>
          <w:rFonts w:asciiTheme="minorHAnsi" w:hAnsiTheme="minorHAnsi" w:cstheme="minorHAnsi"/>
          <w:sz w:val="22"/>
          <w:szCs w:val="22"/>
        </w:rPr>
        <w:t>nionych pracowników, za których dokonywana jest refundacja</w:t>
      </w:r>
      <w:r w:rsidRPr="00E03CB0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E03CB0" w:rsidRDefault="00E03CB0" w:rsidP="00E03CB0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A74FE">
        <w:rPr>
          <w:rFonts w:asciiTheme="minorHAnsi" w:hAnsiTheme="minorHAnsi" w:cstheme="minorHAnsi"/>
          <w:sz w:val="22"/>
          <w:szCs w:val="22"/>
        </w:rPr>
        <w:t>terminy i wysokość refundowanych z Funduszu Pracy przez starostę kosztów poniesionych</w:t>
      </w:r>
      <w:r w:rsidR="000A74FE">
        <w:rPr>
          <w:rFonts w:asciiTheme="minorHAnsi" w:hAnsiTheme="minorHAnsi" w:cstheme="minorHAnsi"/>
          <w:sz w:val="22"/>
          <w:szCs w:val="22"/>
        </w:rPr>
        <w:t xml:space="preserve"> </w:t>
      </w:r>
      <w:r w:rsidR="005F13BD">
        <w:rPr>
          <w:rFonts w:asciiTheme="minorHAnsi" w:hAnsiTheme="minorHAnsi" w:cstheme="minorHAnsi"/>
          <w:sz w:val="22"/>
          <w:szCs w:val="22"/>
        </w:rPr>
        <w:br/>
      </w:r>
      <w:r w:rsidRPr="000A74FE">
        <w:rPr>
          <w:rFonts w:asciiTheme="minorHAnsi" w:hAnsiTheme="minorHAnsi" w:cstheme="minorHAnsi"/>
          <w:sz w:val="22"/>
          <w:szCs w:val="22"/>
        </w:rPr>
        <w:t xml:space="preserve">na wynagrodzenia, nagrody oraz  składki na ubezpieczenia społeczne; </w:t>
      </w:r>
    </w:p>
    <w:p w:rsidR="0012660F" w:rsidRDefault="0012660F" w:rsidP="00B810C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A74FE">
        <w:rPr>
          <w:rFonts w:asciiTheme="minorHAnsi" w:hAnsiTheme="minorHAnsi" w:cstheme="minorHAnsi"/>
          <w:sz w:val="22"/>
          <w:szCs w:val="22"/>
        </w:rPr>
        <w:t xml:space="preserve">obowiązek  </w:t>
      </w:r>
      <w:r>
        <w:rPr>
          <w:rFonts w:asciiTheme="minorHAnsi" w:hAnsiTheme="minorHAnsi" w:cstheme="minorHAnsi"/>
          <w:sz w:val="22"/>
          <w:szCs w:val="22"/>
        </w:rPr>
        <w:t>niezmniejszania liczby zatrudnionych</w:t>
      </w:r>
      <w:r w:rsidRPr="000A74FE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pracowników w stosunku do stanu na dzień podpisania umowy</w:t>
      </w:r>
      <w:r w:rsidRPr="000A74FE">
        <w:rPr>
          <w:rFonts w:asciiTheme="minorHAnsi" w:hAnsiTheme="minorHAnsi" w:cstheme="minorHAnsi"/>
          <w:sz w:val="22"/>
          <w:szCs w:val="22"/>
        </w:rPr>
        <w:t xml:space="preserve">  przez  okres  </w:t>
      </w:r>
      <w:r>
        <w:rPr>
          <w:rFonts w:asciiTheme="minorHAnsi" w:hAnsiTheme="minorHAnsi" w:cstheme="minorHAnsi"/>
          <w:sz w:val="22"/>
          <w:szCs w:val="22"/>
        </w:rPr>
        <w:t>refundacji,</w:t>
      </w:r>
    </w:p>
    <w:p w:rsidR="0012660F" w:rsidRDefault="00E03CB0" w:rsidP="00B810C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A74FE">
        <w:rPr>
          <w:rFonts w:asciiTheme="minorHAnsi" w:hAnsiTheme="minorHAnsi" w:cstheme="minorHAnsi"/>
          <w:sz w:val="22"/>
          <w:szCs w:val="22"/>
        </w:rPr>
        <w:t xml:space="preserve">obowiązek informowania starosty o przypadkach wcześniejszego rozwiązania umowy o pracę </w:t>
      </w:r>
      <w:r w:rsidR="005F13BD">
        <w:rPr>
          <w:rFonts w:asciiTheme="minorHAnsi" w:hAnsiTheme="minorHAnsi" w:cstheme="minorHAnsi"/>
          <w:sz w:val="22"/>
          <w:szCs w:val="22"/>
        </w:rPr>
        <w:br/>
      </w:r>
      <w:r w:rsidRPr="000A74FE">
        <w:rPr>
          <w:rFonts w:asciiTheme="minorHAnsi" w:hAnsiTheme="minorHAnsi" w:cstheme="minorHAnsi"/>
          <w:sz w:val="22"/>
          <w:szCs w:val="22"/>
        </w:rPr>
        <w:t>z</w:t>
      </w:r>
      <w:r w:rsidR="0012660F">
        <w:rPr>
          <w:rFonts w:asciiTheme="minorHAnsi" w:hAnsiTheme="minorHAnsi" w:cstheme="minorHAnsi"/>
          <w:sz w:val="22"/>
          <w:szCs w:val="22"/>
        </w:rPr>
        <w:t xml:space="preserve"> zatrudnionym pracownikiem,</w:t>
      </w:r>
    </w:p>
    <w:p w:rsidR="00B61529" w:rsidRPr="00733603" w:rsidRDefault="0012660F" w:rsidP="00733603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zasady wstrzymania wypłaty refundacji w przypadku zmniejszenia liczby zatrudnionych pracowników.</w:t>
      </w:r>
    </w:p>
    <w:p w:rsidR="00F82B79" w:rsidRPr="00733603" w:rsidRDefault="00E03CB0" w:rsidP="00733603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bCs/>
        </w:rPr>
      </w:pPr>
      <w:r w:rsidRPr="00733603">
        <w:rPr>
          <w:rFonts w:asciiTheme="minorHAnsi" w:hAnsiTheme="minorHAnsi" w:cstheme="minorHAnsi"/>
        </w:rPr>
        <w:t xml:space="preserve">Po  zawarciu  umowy  </w:t>
      </w:r>
      <w:r w:rsidR="0012660F" w:rsidRPr="00733603">
        <w:rPr>
          <w:rFonts w:asciiTheme="minorHAnsi" w:hAnsiTheme="minorHAnsi" w:cstheme="minorHAnsi"/>
          <w:bCs/>
        </w:rPr>
        <w:t>Urząd refunduje pracodawcy</w:t>
      </w:r>
      <w:r w:rsidR="00F82B79" w:rsidRPr="00733603">
        <w:rPr>
          <w:rFonts w:asciiTheme="minorHAnsi" w:hAnsiTheme="minorHAnsi" w:cstheme="minorHAnsi"/>
          <w:bCs/>
        </w:rPr>
        <w:t xml:space="preserve"> przez okres do </w:t>
      </w:r>
      <w:r w:rsidR="0012660F" w:rsidRPr="00733603">
        <w:rPr>
          <w:rFonts w:asciiTheme="minorHAnsi" w:hAnsiTheme="minorHAnsi" w:cstheme="minorHAnsi"/>
          <w:bCs/>
        </w:rPr>
        <w:t xml:space="preserve">12 miesięcy </w:t>
      </w:r>
      <w:r w:rsidR="008B577C">
        <w:rPr>
          <w:rFonts w:asciiTheme="minorHAnsi" w:hAnsiTheme="minorHAnsi" w:cstheme="minorHAnsi"/>
          <w:bCs/>
        </w:rPr>
        <w:t xml:space="preserve"> koszty</w:t>
      </w:r>
      <w:r w:rsidR="00F82B79" w:rsidRPr="00733603">
        <w:rPr>
          <w:rFonts w:asciiTheme="minorHAnsi" w:hAnsiTheme="minorHAnsi" w:cstheme="minorHAnsi"/>
          <w:bCs/>
        </w:rPr>
        <w:t xml:space="preserve"> </w:t>
      </w:r>
      <w:r w:rsidR="0012660F" w:rsidRPr="00733603">
        <w:rPr>
          <w:rFonts w:asciiTheme="minorHAnsi" w:hAnsiTheme="minorHAnsi" w:cstheme="minorHAnsi"/>
          <w:bCs/>
        </w:rPr>
        <w:t xml:space="preserve">wynagrodzenia, nagrody </w:t>
      </w:r>
      <w:r w:rsidR="00F82B79" w:rsidRPr="00733603">
        <w:rPr>
          <w:rFonts w:asciiTheme="minorHAnsi" w:hAnsiTheme="minorHAnsi" w:cstheme="minorHAnsi"/>
          <w:bCs/>
        </w:rPr>
        <w:t xml:space="preserve">oraz składki na ubezpieczenie społeczne </w:t>
      </w:r>
      <w:r w:rsidR="0012660F" w:rsidRPr="00733603">
        <w:rPr>
          <w:rFonts w:asciiTheme="minorHAnsi" w:hAnsiTheme="minorHAnsi" w:cstheme="minorHAnsi"/>
          <w:bCs/>
        </w:rPr>
        <w:t>zatrudnianych pracowników</w:t>
      </w:r>
      <w:r w:rsidR="00F82B79" w:rsidRPr="00733603">
        <w:rPr>
          <w:rFonts w:asciiTheme="minorHAnsi" w:hAnsiTheme="minorHAnsi" w:cstheme="minorHAnsi"/>
          <w:bCs/>
        </w:rPr>
        <w:t>;</w:t>
      </w:r>
    </w:p>
    <w:p w:rsidR="00E03CB0" w:rsidRPr="00F82B79" w:rsidRDefault="00F82B79" w:rsidP="00733603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="00E03CB0" w:rsidRPr="00F82B79">
        <w:rPr>
          <w:rFonts w:asciiTheme="minorHAnsi" w:hAnsiTheme="minorHAnsi" w:cstheme="minorHAnsi"/>
          <w:sz w:val="22"/>
          <w:szCs w:val="22"/>
        </w:rPr>
        <w:t xml:space="preserve">efundacja jest przekazywana  pracodawcy  w  terminach  określonych  w  umowie,  po  upływie  okresu,  za  który przysługuje i złożeniu wniosku </w:t>
      </w:r>
      <w:r w:rsidR="00444691">
        <w:rPr>
          <w:rFonts w:asciiTheme="minorHAnsi" w:hAnsiTheme="minorHAnsi" w:cstheme="minorHAnsi"/>
          <w:sz w:val="22"/>
          <w:szCs w:val="22"/>
        </w:rPr>
        <w:t xml:space="preserve">o </w:t>
      </w:r>
      <w:r w:rsidR="004A78AD" w:rsidRPr="00F82B79">
        <w:rPr>
          <w:rFonts w:asciiTheme="minorHAnsi" w:hAnsiTheme="minorHAnsi" w:cstheme="minorHAnsi"/>
          <w:sz w:val="22"/>
          <w:szCs w:val="22"/>
        </w:rPr>
        <w:t xml:space="preserve">zwrot </w:t>
      </w:r>
      <w:r w:rsidR="00B32612">
        <w:rPr>
          <w:rFonts w:asciiTheme="minorHAnsi" w:hAnsiTheme="minorHAnsi" w:cstheme="minorHAnsi"/>
          <w:sz w:val="22"/>
          <w:szCs w:val="22"/>
        </w:rPr>
        <w:t xml:space="preserve">kosztów </w:t>
      </w:r>
      <w:r w:rsidR="008B577C">
        <w:rPr>
          <w:rFonts w:asciiTheme="minorHAnsi" w:hAnsiTheme="minorHAnsi" w:cstheme="minorHAnsi"/>
          <w:sz w:val="22"/>
          <w:szCs w:val="22"/>
        </w:rPr>
        <w:t>wynagrodzenia,  nagród  oraz  składek</w:t>
      </w:r>
      <w:r w:rsidR="004A78AD" w:rsidRPr="00F82B79">
        <w:rPr>
          <w:rFonts w:asciiTheme="minorHAnsi" w:hAnsiTheme="minorHAnsi" w:cstheme="minorHAnsi"/>
          <w:sz w:val="22"/>
          <w:szCs w:val="22"/>
        </w:rPr>
        <w:t xml:space="preserve"> na</w:t>
      </w:r>
      <w:r w:rsidR="004A78AD" w:rsidRPr="000A74FE">
        <w:rPr>
          <w:rFonts w:asciiTheme="minorHAnsi" w:hAnsiTheme="minorHAnsi" w:cstheme="minorHAnsi"/>
          <w:sz w:val="22"/>
          <w:szCs w:val="22"/>
        </w:rPr>
        <w:t xml:space="preserve">  ubezpieczenia  społeczne </w:t>
      </w:r>
      <w:r w:rsidR="00E03CB0" w:rsidRPr="00F82B79">
        <w:rPr>
          <w:rFonts w:asciiTheme="minorHAnsi" w:hAnsiTheme="minorHAnsi" w:cstheme="minorHAnsi"/>
          <w:sz w:val="22"/>
          <w:szCs w:val="22"/>
        </w:rPr>
        <w:t>wraz z dokumentami potwierdzającymi ich poni</w:t>
      </w:r>
      <w:r w:rsidR="00B61529" w:rsidRPr="00F82B79">
        <w:rPr>
          <w:rFonts w:asciiTheme="minorHAnsi" w:hAnsiTheme="minorHAnsi" w:cstheme="minorHAnsi"/>
          <w:sz w:val="22"/>
          <w:szCs w:val="22"/>
        </w:rPr>
        <w:t>esienie;</w:t>
      </w:r>
    </w:p>
    <w:p w:rsidR="00E03CB0" w:rsidRDefault="00E03CB0" w:rsidP="00733603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82B79">
        <w:rPr>
          <w:rFonts w:asciiTheme="minorHAnsi" w:hAnsiTheme="minorHAnsi" w:cstheme="minorHAnsi"/>
          <w:sz w:val="22"/>
          <w:szCs w:val="22"/>
        </w:rPr>
        <w:t>Druk  wniosku  o  zwrot kosztów  poniesionych  na  wynagrod</w:t>
      </w:r>
      <w:r w:rsidR="000A74FE" w:rsidRPr="00F82B79">
        <w:rPr>
          <w:rFonts w:asciiTheme="minorHAnsi" w:hAnsiTheme="minorHAnsi" w:cstheme="minorHAnsi"/>
          <w:sz w:val="22"/>
          <w:szCs w:val="22"/>
        </w:rPr>
        <w:t xml:space="preserve">zenia,  nagrody  oraz  składki </w:t>
      </w:r>
      <w:r w:rsidRPr="00F82B79">
        <w:rPr>
          <w:rFonts w:asciiTheme="minorHAnsi" w:hAnsiTheme="minorHAnsi" w:cstheme="minorHAnsi"/>
          <w:sz w:val="22"/>
          <w:szCs w:val="22"/>
        </w:rPr>
        <w:t>na</w:t>
      </w:r>
      <w:r w:rsidRPr="000A74FE">
        <w:rPr>
          <w:rFonts w:asciiTheme="minorHAnsi" w:hAnsiTheme="minorHAnsi" w:cstheme="minorHAnsi"/>
          <w:sz w:val="22"/>
          <w:szCs w:val="22"/>
        </w:rPr>
        <w:t xml:space="preserve">  ubezpieczenia  społeczne udostępniany  jest  na  stronie  internetowej  Urzędu oraz w siedzibie Urzędu</w:t>
      </w:r>
      <w:r w:rsidR="00644B23">
        <w:rPr>
          <w:rFonts w:asciiTheme="minorHAnsi" w:hAnsiTheme="minorHAnsi" w:cstheme="minorHAnsi"/>
          <w:sz w:val="22"/>
          <w:szCs w:val="22"/>
        </w:rPr>
        <w:t>.</w:t>
      </w:r>
      <w:r w:rsidR="00B61529">
        <w:rPr>
          <w:rFonts w:asciiTheme="minorHAnsi" w:hAnsiTheme="minorHAnsi" w:cstheme="minorHAnsi"/>
          <w:sz w:val="22"/>
          <w:szCs w:val="22"/>
        </w:rPr>
        <w:t>;</w:t>
      </w:r>
    </w:p>
    <w:p w:rsidR="00B61529" w:rsidRDefault="00B61529" w:rsidP="00733603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F5103D">
        <w:rPr>
          <w:rFonts w:asciiTheme="minorHAnsi" w:hAnsiTheme="minorHAnsi" w:cstheme="minorHAnsi"/>
        </w:rPr>
        <w:t>Refundacja nie obejmuje zasiłków finansowanych ze środków Funduszu Ubezpieczeń Społecznych;</w:t>
      </w:r>
    </w:p>
    <w:p w:rsidR="00733603" w:rsidRPr="00733603" w:rsidRDefault="00733603" w:rsidP="00733603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3603">
        <w:rPr>
          <w:rFonts w:ascii="Calibri" w:hAnsi="Calibri" w:cs="Calibri"/>
          <w:sz w:val="22"/>
          <w:szCs w:val="22"/>
        </w:rPr>
        <w:t>Niewywiązanie się z warunku nie zmniejszenia zatrudnienia</w:t>
      </w:r>
      <w:r w:rsidRPr="00733603">
        <w:rPr>
          <w:rFonts w:asciiTheme="minorHAnsi" w:hAnsiTheme="minorHAnsi" w:cstheme="minorHAnsi"/>
          <w:sz w:val="22"/>
          <w:szCs w:val="22"/>
        </w:rPr>
        <w:t xml:space="preserve"> w okresie obowiązywania umowy liczby zatrudnionych pracowników w stosunku do stanu na dzień podpisania umowy o refundację</w:t>
      </w:r>
      <w:r w:rsidRPr="00733603">
        <w:rPr>
          <w:rFonts w:ascii="Calibri" w:hAnsi="Calibri" w:cs="Calibri"/>
          <w:sz w:val="22"/>
          <w:szCs w:val="22"/>
        </w:rPr>
        <w:t xml:space="preserve"> powoduje wstrzymanie pomocy od miesiąca, w którym nastąpiło zmniejszenie zatrudnienia w wysokości stanowiącej iloczyn przyznanej refundacji na jedną osobę i liczby zwolnionych pracowników</w:t>
      </w:r>
    </w:p>
    <w:p w:rsidR="00E03CB0" w:rsidRPr="00733603" w:rsidRDefault="00E03CB0" w:rsidP="007336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33603">
        <w:rPr>
          <w:rFonts w:asciiTheme="minorHAnsi" w:hAnsiTheme="minorHAnsi" w:cstheme="minorHAnsi"/>
        </w:rPr>
        <w:t xml:space="preserve">Urząd  zastrzega  sobie  prawo  przeprowadzenia  kontroli  pracodawcy  w  zakresie  wywiązywania                            </w:t>
      </w:r>
    </w:p>
    <w:p w:rsidR="00E03CB0" w:rsidRDefault="00E03CB0" w:rsidP="00733603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się  z warunków zawartej umowy</w:t>
      </w:r>
      <w:r w:rsidR="00733603">
        <w:rPr>
          <w:rFonts w:asciiTheme="minorHAnsi" w:hAnsiTheme="minorHAnsi" w:cstheme="minorHAnsi"/>
          <w:sz w:val="22"/>
          <w:szCs w:val="22"/>
        </w:rPr>
        <w:t xml:space="preserve"> I </w:t>
      </w:r>
      <w:r w:rsidR="00B32612" w:rsidRPr="00733603">
        <w:rPr>
          <w:rFonts w:asciiTheme="minorHAnsi" w:hAnsiTheme="minorHAnsi" w:cstheme="minorHAnsi"/>
          <w:sz w:val="22"/>
          <w:szCs w:val="22"/>
        </w:rPr>
        <w:t xml:space="preserve">rozwiązania  zawartej umowy </w:t>
      </w:r>
      <w:r w:rsidRPr="00733603">
        <w:rPr>
          <w:rFonts w:asciiTheme="minorHAnsi" w:hAnsiTheme="minorHAnsi" w:cstheme="minorHAnsi"/>
          <w:sz w:val="22"/>
          <w:szCs w:val="22"/>
        </w:rPr>
        <w:t xml:space="preserve">w trybie natychmiastowym w przypadku naruszenia przez pracodawcę warunków umowy. </w:t>
      </w:r>
    </w:p>
    <w:p w:rsidR="00120F9F" w:rsidRDefault="00120F9F" w:rsidP="00733603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733603" w:rsidRDefault="00733603" w:rsidP="0073360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Rozdział IV</w:t>
      </w:r>
    </w:p>
    <w:p w:rsidR="00733603" w:rsidRDefault="00733603" w:rsidP="0073360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Pomoc de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</w:p>
    <w:p w:rsidR="00733603" w:rsidRPr="00E03CB0" w:rsidRDefault="00733603" w:rsidP="0073360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7</w:t>
      </w:r>
    </w:p>
    <w:p w:rsidR="00733603" w:rsidRDefault="00733603" w:rsidP="0073360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733603" w:rsidRDefault="00733603" w:rsidP="00733603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>Pracodawca  prowadzący  działalność  gospodarczą,  w  tym  prowadzący  działalność  w  zakresi</w:t>
      </w:r>
      <w:r>
        <w:rPr>
          <w:rFonts w:asciiTheme="minorHAnsi" w:hAnsiTheme="minorHAnsi" w:cstheme="minorHAnsi"/>
          <w:sz w:val="22"/>
          <w:szCs w:val="22"/>
        </w:rPr>
        <w:t xml:space="preserve">e rolnictwa  lub  rybołówstwa, </w:t>
      </w:r>
      <w:r w:rsidRPr="0046731F">
        <w:rPr>
          <w:rFonts w:asciiTheme="minorHAnsi" w:hAnsiTheme="minorHAnsi" w:cstheme="minorHAnsi"/>
          <w:sz w:val="22"/>
          <w:szCs w:val="22"/>
        </w:rPr>
        <w:t xml:space="preserve">bez względu na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46731F">
        <w:rPr>
          <w:rFonts w:asciiTheme="minorHAnsi" w:hAnsiTheme="minorHAnsi" w:cstheme="minorHAnsi"/>
          <w:sz w:val="22"/>
          <w:szCs w:val="22"/>
        </w:rPr>
        <w:t xml:space="preserve">ej formę organizacyjno-prawną oraz sposób finansowania, u  którego  organizowane  są  prace  interwencyjne  jest  beneficjentem  pomocy publicznej  w  rozumieniu  ustawy  z  dnia  30  kwietnia  2004r.  o  postępowaniu  w  sprawach dotyczących pomocy publicznej. </w:t>
      </w:r>
    </w:p>
    <w:p w:rsidR="00733603" w:rsidRDefault="00733603" w:rsidP="00733603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>Refundacja  części  kosztów  poniesionych  na  wynagrod</w:t>
      </w:r>
      <w:r>
        <w:rPr>
          <w:rFonts w:asciiTheme="minorHAnsi" w:hAnsiTheme="minorHAnsi" w:cstheme="minorHAnsi"/>
          <w:sz w:val="22"/>
          <w:szCs w:val="22"/>
        </w:rPr>
        <w:t xml:space="preserve">zenia,  nagrody  oraz  składki </w:t>
      </w:r>
      <w:r w:rsidRPr="0046731F">
        <w:rPr>
          <w:rFonts w:asciiTheme="minorHAnsi" w:hAnsiTheme="minorHAnsi" w:cstheme="minorHAnsi"/>
          <w:sz w:val="22"/>
          <w:szCs w:val="22"/>
        </w:rPr>
        <w:t>na ubezpieczenia społeczne, dokonywana pra</w:t>
      </w:r>
      <w:r w:rsidR="008B577C">
        <w:rPr>
          <w:rFonts w:asciiTheme="minorHAnsi" w:hAnsiTheme="minorHAnsi" w:cstheme="minorHAnsi"/>
          <w:sz w:val="22"/>
          <w:szCs w:val="22"/>
        </w:rPr>
        <w:t>codawcy, o którym mowa w ust. 1</w:t>
      </w:r>
      <w:r w:rsidRPr="0046731F">
        <w:rPr>
          <w:rFonts w:asciiTheme="minorHAnsi" w:hAnsiTheme="minorHAnsi" w:cstheme="minorHAnsi"/>
          <w:sz w:val="22"/>
          <w:szCs w:val="22"/>
        </w:rPr>
        <w:t xml:space="preserve">, stanowi pomoc de </w:t>
      </w:r>
      <w:proofErr w:type="spellStart"/>
      <w:r w:rsidRPr="0046731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46731F">
        <w:rPr>
          <w:rFonts w:asciiTheme="minorHAnsi" w:hAnsiTheme="minorHAnsi" w:cstheme="minorHAnsi"/>
          <w:sz w:val="22"/>
          <w:szCs w:val="22"/>
        </w:rPr>
        <w:t xml:space="preserve"> spełniającą warunki określone</w:t>
      </w:r>
      <w:r>
        <w:rPr>
          <w:rFonts w:asciiTheme="minorHAnsi" w:hAnsiTheme="minorHAnsi" w:cstheme="minorHAnsi"/>
          <w:sz w:val="22"/>
          <w:szCs w:val="22"/>
        </w:rPr>
        <w:t xml:space="preserve"> w</w:t>
      </w:r>
      <w:r w:rsidRPr="0046731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33603" w:rsidRDefault="00733603" w:rsidP="0073360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lastRenderedPageBreak/>
        <w:t>Roz</w:t>
      </w:r>
      <w:r>
        <w:rPr>
          <w:rFonts w:asciiTheme="minorHAnsi" w:hAnsiTheme="minorHAnsi" w:cstheme="minorHAnsi"/>
          <w:sz w:val="22"/>
          <w:szCs w:val="22"/>
        </w:rPr>
        <w:t>porządzeniu Komisji (UE) nr 2023</w:t>
      </w:r>
      <w:r w:rsidRPr="0046731F">
        <w:rPr>
          <w:rFonts w:asciiTheme="minorHAnsi" w:hAnsiTheme="minorHAnsi" w:cstheme="minorHAnsi"/>
          <w:sz w:val="22"/>
          <w:szCs w:val="22"/>
        </w:rPr>
        <w:t>/2</w:t>
      </w:r>
      <w:r>
        <w:rPr>
          <w:rFonts w:asciiTheme="minorHAnsi" w:hAnsiTheme="minorHAnsi" w:cstheme="minorHAnsi"/>
          <w:sz w:val="22"/>
          <w:szCs w:val="22"/>
        </w:rPr>
        <w:t>831</w:t>
      </w:r>
      <w:r w:rsidRPr="0046731F">
        <w:rPr>
          <w:rFonts w:asciiTheme="minorHAnsi" w:hAnsiTheme="minorHAnsi" w:cstheme="minorHAnsi"/>
          <w:sz w:val="22"/>
          <w:szCs w:val="22"/>
        </w:rPr>
        <w:t xml:space="preserve"> lub </w:t>
      </w:r>
    </w:p>
    <w:p w:rsidR="00733603" w:rsidRDefault="00733603" w:rsidP="0073360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 xml:space="preserve">Rozporządzeniu Komisji (UE) nr 1408/2013 lub </w:t>
      </w:r>
    </w:p>
    <w:p w:rsidR="00733603" w:rsidRDefault="00733603" w:rsidP="00733603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6731F">
        <w:rPr>
          <w:rFonts w:asciiTheme="minorHAnsi" w:hAnsiTheme="minorHAnsi" w:cstheme="minorHAnsi"/>
          <w:sz w:val="22"/>
          <w:szCs w:val="22"/>
        </w:rPr>
        <w:t>Rozporządzeniu Komisji (UE) nr 717/2014.</w:t>
      </w:r>
    </w:p>
    <w:p w:rsidR="00733603" w:rsidRDefault="00733603" w:rsidP="00733603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33603" w:rsidRPr="00E03CB0" w:rsidRDefault="00733603" w:rsidP="0073360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Rozdział V</w:t>
      </w:r>
    </w:p>
    <w:p w:rsidR="00E03CB0" w:rsidRPr="00E03CB0" w:rsidRDefault="00E03CB0" w:rsidP="00644B2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>Postanowienia końcowe</w:t>
      </w:r>
    </w:p>
    <w:p w:rsidR="002C321F" w:rsidRDefault="002C321F" w:rsidP="000A74F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E03CB0" w:rsidRPr="00E03CB0" w:rsidRDefault="00733603" w:rsidP="000A74F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8</w:t>
      </w:r>
    </w:p>
    <w:p w:rsidR="00E03CB0" w:rsidRDefault="00E03CB0" w:rsidP="000A74FE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03CB0">
        <w:rPr>
          <w:rFonts w:asciiTheme="minorHAnsi" w:hAnsiTheme="minorHAnsi" w:cstheme="minorHAnsi"/>
          <w:sz w:val="22"/>
          <w:szCs w:val="22"/>
        </w:rPr>
        <w:t xml:space="preserve">Zmian niniejszych Zasad dokonuje Dyrektor Urzędu. </w:t>
      </w:r>
    </w:p>
    <w:p w:rsidR="00E03CB0" w:rsidRPr="00BE1BB2" w:rsidRDefault="00E03CB0" w:rsidP="00733603">
      <w:pPr>
        <w:pStyle w:val="Normalny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E1BB2">
        <w:rPr>
          <w:rFonts w:asciiTheme="minorHAnsi" w:hAnsiTheme="minorHAnsi" w:cstheme="minorHAnsi"/>
          <w:sz w:val="22"/>
          <w:szCs w:val="22"/>
        </w:rPr>
        <w:t>Przy  rozpatrywaniu</w:t>
      </w:r>
      <w:r w:rsidR="00733603">
        <w:rPr>
          <w:rFonts w:asciiTheme="minorHAnsi" w:hAnsiTheme="minorHAnsi" w:cstheme="minorHAnsi"/>
          <w:sz w:val="22"/>
          <w:szCs w:val="22"/>
        </w:rPr>
        <w:t xml:space="preserve">  wniosków  o  zawarcie  umowy </w:t>
      </w:r>
      <w:r w:rsidRPr="00BE1BB2">
        <w:rPr>
          <w:rFonts w:asciiTheme="minorHAnsi" w:hAnsiTheme="minorHAnsi" w:cstheme="minorHAnsi"/>
          <w:sz w:val="22"/>
          <w:szCs w:val="22"/>
        </w:rPr>
        <w:t>w szczególnie uzasadnionych przypadkach, Dyrektor Urzędu może podjąć decyzję o</w:t>
      </w:r>
      <w:r w:rsidR="00733603">
        <w:rPr>
          <w:rFonts w:asciiTheme="minorHAnsi" w:hAnsiTheme="minorHAnsi" w:cstheme="minorHAnsi"/>
          <w:sz w:val="22"/>
          <w:szCs w:val="22"/>
        </w:rPr>
        <w:t xml:space="preserve"> odstępstwie </w:t>
      </w:r>
      <w:r w:rsidRPr="00BE1BB2">
        <w:rPr>
          <w:rFonts w:asciiTheme="minorHAnsi" w:hAnsiTheme="minorHAnsi" w:cstheme="minorHAnsi"/>
          <w:sz w:val="22"/>
          <w:szCs w:val="22"/>
        </w:rPr>
        <w:t xml:space="preserve">od postanowień zawartych w niniejszych Zasadach. </w:t>
      </w:r>
    </w:p>
    <w:p w:rsidR="00644B23" w:rsidRDefault="00644B23" w:rsidP="000A74F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1322B6" w:rsidRDefault="001322B6" w:rsidP="000A74F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:rsidR="001322B6" w:rsidRDefault="001322B6" w:rsidP="000A74F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sectPr w:rsidR="001322B6" w:rsidSect="00C46FE2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062A"/>
    <w:multiLevelType w:val="hybridMultilevel"/>
    <w:tmpl w:val="9B2A4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C2D39"/>
    <w:multiLevelType w:val="hybridMultilevel"/>
    <w:tmpl w:val="4A68E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1A6E28"/>
    <w:multiLevelType w:val="hybridMultilevel"/>
    <w:tmpl w:val="3B048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36194"/>
    <w:multiLevelType w:val="hybridMultilevel"/>
    <w:tmpl w:val="81983B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C57E8B"/>
    <w:multiLevelType w:val="hybridMultilevel"/>
    <w:tmpl w:val="D084EC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F07052"/>
    <w:multiLevelType w:val="hybridMultilevel"/>
    <w:tmpl w:val="03DEDE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D076C"/>
    <w:multiLevelType w:val="hybridMultilevel"/>
    <w:tmpl w:val="36E2F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972BE"/>
    <w:multiLevelType w:val="hybridMultilevel"/>
    <w:tmpl w:val="1DB650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12F95"/>
    <w:multiLevelType w:val="hybridMultilevel"/>
    <w:tmpl w:val="2E5E1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4F31E9"/>
    <w:multiLevelType w:val="hybridMultilevel"/>
    <w:tmpl w:val="44F6F9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54DF4"/>
    <w:multiLevelType w:val="hybridMultilevel"/>
    <w:tmpl w:val="BE008C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BC18EE"/>
    <w:multiLevelType w:val="hybridMultilevel"/>
    <w:tmpl w:val="0010E5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276C58"/>
    <w:multiLevelType w:val="hybridMultilevel"/>
    <w:tmpl w:val="993C1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B49D4"/>
    <w:multiLevelType w:val="hybridMultilevel"/>
    <w:tmpl w:val="3166A01E"/>
    <w:lvl w:ilvl="0" w:tplc="2C60C1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E2975D2"/>
    <w:multiLevelType w:val="hybridMultilevel"/>
    <w:tmpl w:val="A07C4A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C2B42"/>
    <w:multiLevelType w:val="hybridMultilevel"/>
    <w:tmpl w:val="1EE810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9A7C2B"/>
    <w:multiLevelType w:val="hybridMultilevel"/>
    <w:tmpl w:val="84EE2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607540"/>
    <w:multiLevelType w:val="hybridMultilevel"/>
    <w:tmpl w:val="15EC60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6F2F5C"/>
    <w:multiLevelType w:val="hybridMultilevel"/>
    <w:tmpl w:val="11042D4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A148B66">
      <w:start w:val="8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E7F3259"/>
    <w:multiLevelType w:val="hybridMultilevel"/>
    <w:tmpl w:val="7026BC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82535"/>
    <w:multiLevelType w:val="hybridMultilevel"/>
    <w:tmpl w:val="3A2622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0F6F6D"/>
    <w:multiLevelType w:val="hybridMultilevel"/>
    <w:tmpl w:val="B420B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F6613"/>
    <w:multiLevelType w:val="hybridMultilevel"/>
    <w:tmpl w:val="51BAB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C1897"/>
    <w:multiLevelType w:val="hybridMultilevel"/>
    <w:tmpl w:val="BD10A1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65AF7"/>
    <w:multiLevelType w:val="hybridMultilevel"/>
    <w:tmpl w:val="D8443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594028"/>
    <w:multiLevelType w:val="hybridMultilevel"/>
    <w:tmpl w:val="E4BE0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F6DF9"/>
    <w:multiLevelType w:val="hybridMultilevel"/>
    <w:tmpl w:val="D3E80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2"/>
  </w:num>
  <w:num w:numId="5">
    <w:abstractNumId w:val="1"/>
  </w:num>
  <w:num w:numId="6">
    <w:abstractNumId w:val="20"/>
  </w:num>
  <w:num w:numId="7">
    <w:abstractNumId w:val="16"/>
  </w:num>
  <w:num w:numId="8">
    <w:abstractNumId w:val="26"/>
  </w:num>
  <w:num w:numId="9">
    <w:abstractNumId w:val="21"/>
  </w:num>
  <w:num w:numId="10">
    <w:abstractNumId w:val="3"/>
  </w:num>
  <w:num w:numId="11">
    <w:abstractNumId w:val="7"/>
  </w:num>
  <w:num w:numId="12">
    <w:abstractNumId w:val="15"/>
  </w:num>
  <w:num w:numId="13">
    <w:abstractNumId w:val="14"/>
  </w:num>
  <w:num w:numId="14">
    <w:abstractNumId w:val="25"/>
  </w:num>
  <w:num w:numId="15">
    <w:abstractNumId w:val="24"/>
  </w:num>
  <w:num w:numId="16">
    <w:abstractNumId w:val="4"/>
  </w:num>
  <w:num w:numId="17">
    <w:abstractNumId w:val="19"/>
  </w:num>
  <w:num w:numId="18">
    <w:abstractNumId w:val="2"/>
  </w:num>
  <w:num w:numId="19">
    <w:abstractNumId w:val="5"/>
  </w:num>
  <w:num w:numId="20">
    <w:abstractNumId w:val="23"/>
  </w:num>
  <w:num w:numId="21">
    <w:abstractNumId w:val="17"/>
  </w:num>
  <w:num w:numId="22">
    <w:abstractNumId w:val="11"/>
  </w:num>
  <w:num w:numId="23">
    <w:abstractNumId w:val="18"/>
  </w:num>
  <w:num w:numId="24">
    <w:abstractNumId w:val="10"/>
  </w:num>
  <w:num w:numId="25">
    <w:abstractNumId w:val="0"/>
  </w:num>
  <w:num w:numId="26">
    <w:abstractNumId w:val="12"/>
  </w:num>
  <w:num w:numId="27">
    <w:abstractNumId w:val="1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3BD"/>
    <w:rsid w:val="0000050C"/>
    <w:rsid w:val="00001CCE"/>
    <w:rsid w:val="0000671C"/>
    <w:rsid w:val="000142ED"/>
    <w:rsid w:val="00020B5A"/>
    <w:rsid w:val="0004041E"/>
    <w:rsid w:val="0005032B"/>
    <w:rsid w:val="00053EA4"/>
    <w:rsid w:val="000648E7"/>
    <w:rsid w:val="00075F0F"/>
    <w:rsid w:val="00075FAD"/>
    <w:rsid w:val="000869B9"/>
    <w:rsid w:val="000A74FE"/>
    <w:rsid w:val="000B5705"/>
    <w:rsid w:val="000D3135"/>
    <w:rsid w:val="000E6545"/>
    <w:rsid w:val="001070BA"/>
    <w:rsid w:val="001178B0"/>
    <w:rsid w:val="00120F9F"/>
    <w:rsid w:val="0012660F"/>
    <w:rsid w:val="001322B6"/>
    <w:rsid w:val="00136289"/>
    <w:rsid w:val="00160276"/>
    <w:rsid w:val="0019084B"/>
    <w:rsid w:val="001A7274"/>
    <w:rsid w:val="001C1492"/>
    <w:rsid w:val="001C29EF"/>
    <w:rsid w:val="001E6FAC"/>
    <w:rsid w:val="001F0A58"/>
    <w:rsid w:val="001F585E"/>
    <w:rsid w:val="00220AB7"/>
    <w:rsid w:val="0023722F"/>
    <w:rsid w:val="002420F2"/>
    <w:rsid w:val="00251C95"/>
    <w:rsid w:val="002566B3"/>
    <w:rsid w:val="00257366"/>
    <w:rsid w:val="002667D9"/>
    <w:rsid w:val="002A6677"/>
    <w:rsid w:val="002B6E4D"/>
    <w:rsid w:val="002B7F47"/>
    <w:rsid w:val="002C321F"/>
    <w:rsid w:val="002D21D7"/>
    <w:rsid w:val="00321FE4"/>
    <w:rsid w:val="003252B8"/>
    <w:rsid w:val="0032630B"/>
    <w:rsid w:val="00337F05"/>
    <w:rsid w:val="0039775E"/>
    <w:rsid w:val="003A0FE9"/>
    <w:rsid w:val="003A2C67"/>
    <w:rsid w:val="003A60CE"/>
    <w:rsid w:val="003C13C9"/>
    <w:rsid w:val="003C2A51"/>
    <w:rsid w:val="003C38B2"/>
    <w:rsid w:val="003D0E98"/>
    <w:rsid w:val="003D11A0"/>
    <w:rsid w:val="003E4172"/>
    <w:rsid w:val="003F749A"/>
    <w:rsid w:val="00423659"/>
    <w:rsid w:val="00425323"/>
    <w:rsid w:val="00444691"/>
    <w:rsid w:val="004575FB"/>
    <w:rsid w:val="0046731F"/>
    <w:rsid w:val="00484213"/>
    <w:rsid w:val="00484398"/>
    <w:rsid w:val="00487DC4"/>
    <w:rsid w:val="004A0473"/>
    <w:rsid w:val="004A78AD"/>
    <w:rsid w:val="004D2750"/>
    <w:rsid w:val="004D66B9"/>
    <w:rsid w:val="004E6476"/>
    <w:rsid w:val="005005F2"/>
    <w:rsid w:val="00550B7F"/>
    <w:rsid w:val="005616EB"/>
    <w:rsid w:val="0056651B"/>
    <w:rsid w:val="005E0FEB"/>
    <w:rsid w:val="005E309C"/>
    <w:rsid w:val="005F13BD"/>
    <w:rsid w:val="0060033F"/>
    <w:rsid w:val="006221CA"/>
    <w:rsid w:val="0063341A"/>
    <w:rsid w:val="00644B23"/>
    <w:rsid w:val="00645D84"/>
    <w:rsid w:val="006740FF"/>
    <w:rsid w:val="0067734A"/>
    <w:rsid w:val="00692045"/>
    <w:rsid w:val="00696767"/>
    <w:rsid w:val="006B458E"/>
    <w:rsid w:val="006D6E4E"/>
    <w:rsid w:val="006F1DBB"/>
    <w:rsid w:val="00703B90"/>
    <w:rsid w:val="007332D4"/>
    <w:rsid w:val="00733603"/>
    <w:rsid w:val="0074773C"/>
    <w:rsid w:val="007501D9"/>
    <w:rsid w:val="00765C31"/>
    <w:rsid w:val="00783703"/>
    <w:rsid w:val="007B48BE"/>
    <w:rsid w:val="007C3A91"/>
    <w:rsid w:val="0083424F"/>
    <w:rsid w:val="00867EAC"/>
    <w:rsid w:val="00882ADC"/>
    <w:rsid w:val="008B577C"/>
    <w:rsid w:val="008C215E"/>
    <w:rsid w:val="008E06FD"/>
    <w:rsid w:val="008E2442"/>
    <w:rsid w:val="00904F8B"/>
    <w:rsid w:val="0090505B"/>
    <w:rsid w:val="009063EF"/>
    <w:rsid w:val="00916D10"/>
    <w:rsid w:val="00933D06"/>
    <w:rsid w:val="00962900"/>
    <w:rsid w:val="0096641A"/>
    <w:rsid w:val="00966EA2"/>
    <w:rsid w:val="00973172"/>
    <w:rsid w:val="009906B7"/>
    <w:rsid w:val="009A170F"/>
    <w:rsid w:val="009B7631"/>
    <w:rsid w:val="009E7CDC"/>
    <w:rsid w:val="00A575BC"/>
    <w:rsid w:val="00A60B40"/>
    <w:rsid w:val="00A8744E"/>
    <w:rsid w:val="00AA3489"/>
    <w:rsid w:val="00AA3DA3"/>
    <w:rsid w:val="00AB4D05"/>
    <w:rsid w:val="00AC245B"/>
    <w:rsid w:val="00AC5407"/>
    <w:rsid w:val="00AD7051"/>
    <w:rsid w:val="00AF57BD"/>
    <w:rsid w:val="00B05ACF"/>
    <w:rsid w:val="00B32612"/>
    <w:rsid w:val="00B4757E"/>
    <w:rsid w:val="00B5392F"/>
    <w:rsid w:val="00B61529"/>
    <w:rsid w:val="00B76279"/>
    <w:rsid w:val="00B770BE"/>
    <w:rsid w:val="00B806CC"/>
    <w:rsid w:val="00BC2E3E"/>
    <w:rsid w:val="00BD3A58"/>
    <w:rsid w:val="00BE0EF6"/>
    <w:rsid w:val="00BE1BB2"/>
    <w:rsid w:val="00BE5B1F"/>
    <w:rsid w:val="00BE7378"/>
    <w:rsid w:val="00BF0669"/>
    <w:rsid w:val="00C46FE2"/>
    <w:rsid w:val="00C50358"/>
    <w:rsid w:val="00C5219F"/>
    <w:rsid w:val="00C63E41"/>
    <w:rsid w:val="00C66D19"/>
    <w:rsid w:val="00C87A0C"/>
    <w:rsid w:val="00CB1B6E"/>
    <w:rsid w:val="00CB38A2"/>
    <w:rsid w:val="00CB3B39"/>
    <w:rsid w:val="00CC4F1D"/>
    <w:rsid w:val="00CD1B41"/>
    <w:rsid w:val="00CE053A"/>
    <w:rsid w:val="00CE0B51"/>
    <w:rsid w:val="00D057F9"/>
    <w:rsid w:val="00D22408"/>
    <w:rsid w:val="00D47804"/>
    <w:rsid w:val="00D52431"/>
    <w:rsid w:val="00D5775F"/>
    <w:rsid w:val="00D644B7"/>
    <w:rsid w:val="00D75593"/>
    <w:rsid w:val="00D75D54"/>
    <w:rsid w:val="00DB033D"/>
    <w:rsid w:val="00DC119E"/>
    <w:rsid w:val="00DC58F0"/>
    <w:rsid w:val="00DD3E83"/>
    <w:rsid w:val="00DD6CC8"/>
    <w:rsid w:val="00E03654"/>
    <w:rsid w:val="00E03A9A"/>
    <w:rsid w:val="00E03CB0"/>
    <w:rsid w:val="00E123BD"/>
    <w:rsid w:val="00E33A0C"/>
    <w:rsid w:val="00E50668"/>
    <w:rsid w:val="00E52820"/>
    <w:rsid w:val="00E7730E"/>
    <w:rsid w:val="00EC0611"/>
    <w:rsid w:val="00EE5504"/>
    <w:rsid w:val="00F01617"/>
    <w:rsid w:val="00F12FC0"/>
    <w:rsid w:val="00F21496"/>
    <w:rsid w:val="00F23510"/>
    <w:rsid w:val="00F5103D"/>
    <w:rsid w:val="00F531D6"/>
    <w:rsid w:val="00F82B79"/>
    <w:rsid w:val="00F92155"/>
    <w:rsid w:val="00FB4784"/>
    <w:rsid w:val="00FB5789"/>
    <w:rsid w:val="00FC7B32"/>
    <w:rsid w:val="00FD17B0"/>
    <w:rsid w:val="00FD6ECD"/>
    <w:rsid w:val="00FE00C2"/>
    <w:rsid w:val="00FE54BD"/>
    <w:rsid w:val="00FE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5293F-4493-44BB-A853-AE95BF99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D7051"/>
    <w:pPr>
      <w:keepNext/>
      <w:suppressAutoHyphens/>
      <w:spacing w:line="100" w:lineRule="atLeast"/>
      <w:jc w:val="center"/>
      <w:outlineLvl w:val="1"/>
    </w:pPr>
    <w:rPr>
      <w:rFonts w:ascii="Arial" w:hAnsi="Arial"/>
      <w:b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123B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123BD"/>
    <w:pPr>
      <w:suppressAutoHyphens/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123B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3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3B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5E309C"/>
    <w:rPr>
      <w:b/>
      <w:bCs/>
    </w:rPr>
  </w:style>
  <w:style w:type="paragraph" w:customStyle="1" w:styleId="Domylnie">
    <w:name w:val="Domyślnie"/>
    <w:uiPriority w:val="99"/>
    <w:rsid w:val="00E036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0365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0648E7"/>
    <w:pPr>
      <w:spacing w:after="120" w:line="480" w:lineRule="auto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48E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WW-Tekstkomentarza">
    <w:name w:val="WW-Tekst komentarza"/>
    <w:basedOn w:val="Normalny"/>
    <w:rsid w:val="00CB1B6E"/>
    <w:pPr>
      <w:suppressAutoHyphens/>
    </w:pPr>
    <w:rPr>
      <w:sz w:val="20"/>
      <w:szCs w:val="20"/>
    </w:rPr>
  </w:style>
  <w:style w:type="paragraph" w:customStyle="1" w:styleId="p15">
    <w:name w:val="p15"/>
    <w:basedOn w:val="Normalny"/>
    <w:rsid w:val="0046731F"/>
    <w:pPr>
      <w:widowControl w:val="0"/>
      <w:tabs>
        <w:tab w:val="left" w:pos="720"/>
      </w:tabs>
      <w:suppressAutoHyphens/>
      <w:spacing w:line="276" w:lineRule="auto"/>
      <w:jc w:val="both"/>
    </w:pPr>
    <w:rPr>
      <w:szCs w:val="20"/>
    </w:rPr>
  </w:style>
  <w:style w:type="paragraph" w:styleId="NormalnyWeb">
    <w:name w:val="Normal (Web)"/>
    <w:basedOn w:val="Normalny"/>
    <w:uiPriority w:val="99"/>
    <w:unhideWhenUsed/>
    <w:rsid w:val="0046731F"/>
    <w:pPr>
      <w:spacing w:before="100" w:beforeAutospacing="1" w:after="100" w:afterAutospacing="1"/>
    </w:pPr>
  </w:style>
  <w:style w:type="paragraph" w:customStyle="1" w:styleId="litera">
    <w:name w:val="litera"/>
    <w:basedOn w:val="Normalny"/>
    <w:qFormat/>
    <w:rsid w:val="00644B23"/>
    <w:pPr>
      <w:spacing w:before="60" w:after="60" w:line="360" w:lineRule="auto"/>
      <w:ind w:left="1281" w:hanging="272"/>
      <w:jc w:val="both"/>
    </w:pPr>
  </w:style>
  <w:style w:type="paragraph" w:customStyle="1" w:styleId="p3">
    <w:name w:val="p3"/>
    <w:basedOn w:val="Normalny"/>
    <w:rsid w:val="00B61529"/>
    <w:pPr>
      <w:widowControl w:val="0"/>
      <w:suppressAutoHyphens/>
      <w:spacing w:line="276" w:lineRule="auto"/>
      <w:ind w:left="1152" w:hanging="288"/>
    </w:pPr>
    <w:rPr>
      <w:szCs w:val="20"/>
    </w:rPr>
  </w:style>
  <w:style w:type="character" w:customStyle="1" w:styleId="Nagwek2Znak">
    <w:name w:val="Nagłówek 2 Znak"/>
    <w:basedOn w:val="Domylnaczcionkaakapitu"/>
    <w:link w:val="Nagwek2"/>
    <w:rsid w:val="00AD7051"/>
    <w:rPr>
      <w:rFonts w:ascii="Arial" w:eastAsia="Times New Roman" w:hAnsi="Arial" w:cs="Times New Roman"/>
      <w:b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9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FE53F-0434-4657-852B-9A4A8478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4</Pages>
  <Words>1640</Words>
  <Characters>9843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Kamienna Góra</Company>
  <LinksUpToDate>false</LinksUpToDate>
  <CharactersWithSpaces>11461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jolanbu</dc:creator>
  <cp:keywords/>
  <dc:description/>
  <cp:lastModifiedBy>Mieczysław Mańkiewicz</cp:lastModifiedBy>
  <cp:revision>80</cp:revision>
  <cp:lastPrinted>2024-10-08T09:32:00Z</cp:lastPrinted>
  <dcterms:created xsi:type="dcterms:W3CDTF">2018-11-19T10:05:00Z</dcterms:created>
  <dcterms:modified xsi:type="dcterms:W3CDTF">2024-10-08T09:33:00Z</dcterms:modified>
</cp:coreProperties>
</file>